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C21B17">
        <w:rPr>
          <w:rFonts w:ascii="Arial" w:hAnsi="Arial" w:cs="Arial"/>
          <w:i w:val="0"/>
          <w:lang w:val="ro-RO"/>
        </w:rPr>
        <w:t xml:space="preserve"> </w:t>
      </w:r>
      <w:r w:rsidR="009625D3" w:rsidRPr="00146552">
        <w:rPr>
          <w:rFonts w:ascii="Arial" w:hAnsi="Arial" w:cs="Arial"/>
          <w:i w:val="0"/>
          <w:lang w:val="ro-RO"/>
        </w:rPr>
        <w:t>din</w:t>
      </w:r>
      <w:r w:rsidR="00A177BD">
        <w:rPr>
          <w:rFonts w:ascii="Arial" w:hAnsi="Arial" w:cs="Arial"/>
          <w:i w:val="0"/>
          <w:lang w:val="ro-RO"/>
        </w:rPr>
        <w:t xml:space="preserve"> </w:t>
      </w:r>
      <w:r w:rsidR="007F59A3">
        <w:rPr>
          <w:rFonts w:ascii="Arial" w:hAnsi="Arial" w:cs="Arial"/>
          <w:i w:val="0"/>
          <w:lang w:val="ro-RO"/>
        </w:rPr>
        <w:t>02</w:t>
      </w:r>
      <w:r w:rsidR="00DA3429">
        <w:rPr>
          <w:rFonts w:ascii="Arial" w:hAnsi="Arial" w:cs="Arial"/>
          <w:i w:val="0"/>
          <w:lang w:val="ro-RO"/>
        </w:rPr>
        <w:t>.2023</w:t>
      </w:r>
    </w:p>
    <w:p w:rsidR="002F31A3" w:rsidRPr="002F31A3" w:rsidRDefault="007F59A3" w:rsidP="007F59A3">
      <w:pPr>
        <w:jc w:val="center"/>
        <w:rPr>
          <w:rFonts w:ascii="Arial" w:hAnsi="Arial" w:cs="Arial"/>
          <w:b/>
          <w:sz w:val="24"/>
          <w:szCs w:val="24"/>
          <w:lang w:val="ro-RO"/>
        </w:rPr>
      </w:pPr>
      <w:r>
        <w:rPr>
          <w:rFonts w:ascii="Arial" w:hAnsi="Arial" w:cs="Arial"/>
          <w:b/>
          <w:sz w:val="24"/>
          <w:szCs w:val="24"/>
          <w:lang w:val="ro-RO"/>
        </w:rPr>
        <w:t>(PROIECT)</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44CBF" w:rsidRPr="00044CBF">
        <w:rPr>
          <w:rFonts w:ascii="Arial" w:hAnsi="Arial" w:cs="Arial"/>
          <w:b/>
          <w:bCs/>
          <w:sz w:val="24"/>
          <w:szCs w:val="24"/>
          <w:lang w:val="ro-RO"/>
        </w:rPr>
        <w:t>COMUNA ȘĂRMĂȘAG</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w:t>
      </w:r>
      <w:r w:rsidR="007F59A3">
        <w:rPr>
          <w:rFonts w:ascii="Arial" w:hAnsi="Arial" w:cs="Arial"/>
          <w:sz w:val="24"/>
          <w:szCs w:val="24"/>
          <w:lang w:val="ro-RO"/>
        </w:rPr>
        <w:t>sediul</w:t>
      </w:r>
      <w:r w:rsidR="006E6FE1">
        <w:rPr>
          <w:rFonts w:ascii="Arial" w:hAnsi="Arial" w:cs="Arial"/>
          <w:sz w:val="24"/>
          <w:szCs w:val="24"/>
          <w:lang w:val="ro-RO"/>
        </w:rPr>
        <w:t xml:space="preserve"> în</w:t>
      </w:r>
      <w:r w:rsidR="00411946" w:rsidRPr="00411946">
        <w:rPr>
          <w:rFonts w:ascii="Times New Roman" w:hAnsi="Times New Roman"/>
          <w:sz w:val="24"/>
          <w:szCs w:val="24"/>
          <w:lang w:val="ro-RO"/>
        </w:rPr>
        <w:t xml:space="preserve"> </w:t>
      </w:r>
      <w:r w:rsidR="00044CBF" w:rsidRPr="00044CBF">
        <w:rPr>
          <w:rFonts w:ascii="Arial" w:hAnsi="Arial" w:cs="Arial"/>
          <w:sz w:val="24"/>
          <w:szCs w:val="24"/>
          <w:lang w:val="ro-RO"/>
        </w:rPr>
        <w:t>județul Sălaj, com. Șărmășag, loc. Șărmășag, str. Teilor, nr. 34</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044CBF" w:rsidRPr="00044CBF">
        <w:rPr>
          <w:rFonts w:ascii="Arial" w:hAnsi="Arial" w:cs="Arial"/>
          <w:sz w:val="24"/>
          <w:szCs w:val="24"/>
          <w:lang w:val="ro-RO"/>
        </w:rPr>
        <w:t xml:space="preserve">8212 din data </w:t>
      </w:r>
      <w:r w:rsidR="00044CBF">
        <w:rPr>
          <w:rFonts w:ascii="Arial" w:hAnsi="Arial" w:cs="Arial"/>
          <w:sz w:val="24"/>
          <w:szCs w:val="24"/>
          <w:lang w:val="ro-RO"/>
        </w:rPr>
        <w:t xml:space="preserve">de </w:t>
      </w:r>
      <w:r w:rsidR="00044CBF" w:rsidRPr="00044CBF">
        <w:rPr>
          <w:rFonts w:ascii="Arial" w:hAnsi="Arial" w:cs="Arial"/>
          <w:sz w:val="24"/>
          <w:szCs w:val="24"/>
          <w:lang w:val="ro-RO"/>
        </w:rPr>
        <w:t>09.11.2022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736A66" w:rsidRDefault="005A6C47" w:rsidP="0031689C">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BD60B4">
        <w:rPr>
          <w:rFonts w:ascii="Arial" w:hAnsi="Arial" w:cs="Arial"/>
          <w:sz w:val="24"/>
          <w:szCs w:val="24"/>
          <w:lang w:val="ro-RO"/>
        </w:rPr>
        <w:t>02.02.2023</w:t>
      </w:r>
      <w:r w:rsidRPr="00282EA6">
        <w:rPr>
          <w:rFonts w:ascii="Arial" w:hAnsi="Arial" w:cs="Arial"/>
          <w:sz w:val="24"/>
          <w:szCs w:val="24"/>
          <w:lang w:val="ro-RO"/>
        </w:rPr>
        <w:t xml:space="preserve">, că proiectul: </w:t>
      </w:r>
      <w:r w:rsidR="00F83E51" w:rsidRPr="00F83E51">
        <w:rPr>
          <w:rFonts w:ascii="Arial" w:hAnsi="Arial" w:cs="Arial"/>
          <w:b/>
          <w:sz w:val="24"/>
          <w:szCs w:val="24"/>
          <w:lang w:val="ro-RO"/>
        </w:rPr>
        <w:t xml:space="preserve">EXTINDERE REȚEA DE ALIMENTARE CU APĂ ÎN COMUNA </w:t>
      </w:r>
      <w:r w:rsidR="00F83E51" w:rsidRPr="00F83E51">
        <w:rPr>
          <w:rFonts w:ascii="Arial" w:hAnsi="Arial" w:cs="Arial"/>
          <w:b/>
          <w:bCs/>
          <w:sz w:val="24"/>
          <w:szCs w:val="24"/>
          <w:lang w:val="ro-RO"/>
        </w:rPr>
        <w:t>ȘĂRMĂȘAG</w:t>
      </w:r>
      <w:r w:rsidR="00F83E51" w:rsidRPr="00F83E51">
        <w:rPr>
          <w:rFonts w:ascii="Arial" w:hAnsi="Arial" w:cs="Arial"/>
          <w:b/>
          <w:sz w:val="24"/>
          <w:szCs w:val="24"/>
          <w:lang w:val="ro-RO"/>
        </w:rPr>
        <w:t>, JUDEȚUL SĂLAJ</w:t>
      </w:r>
      <w:r w:rsidR="00F83E51" w:rsidRPr="00F83E51">
        <w:rPr>
          <w:rFonts w:ascii="Arial" w:hAnsi="Arial" w:cs="Arial"/>
          <w:b/>
          <w:i/>
          <w:sz w:val="24"/>
          <w:szCs w:val="24"/>
          <w:lang w:val="ro-RO"/>
        </w:rPr>
        <w:t>,</w:t>
      </w:r>
      <w:r w:rsidR="00F83E51" w:rsidRPr="00F83E51">
        <w:rPr>
          <w:rFonts w:ascii="Arial" w:hAnsi="Arial" w:cs="Arial"/>
          <w:b/>
          <w:sz w:val="24"/>
          <w:szCs w:val="24"/>
          <w:lang w:val="ro-RO"/>
        </w:rPr>
        <w:t xml:space="preserve"> </w:t>
      </w:r>
      <w:r w:rsidR="00F83E51" w:rsidRPr="00F83E51">
        <w:rPr>
          <w:rFonts w:ascii="Arial" w:hAnsi="Arial" w:cs="Arial"/>
          <w:sz w:val="24"/>
          <w:szCs w:val="24"/>
          <w:lang w:val="ro-RO"/>
        </w:rPr>
        <w:t>propus a fi amplasat în jud. Sălaj, com. Șărmășag, loc. Șărmășag, str. Teilor, Lente, Gării, Albinei, Recoltei</w:t>
      </w:r>
      <w:r w:rsidR="00694E11">
        <w:rPr>
          <w:rFonts w:ascii="Arial" w:hAnsi="Arial" w:cs="Arial"/>
          <w:sz w:val="24"/>
          <w:szCs w:val="24"/>
          <w:lang w:val="ro-RO"/>
        </w:rPr>
        <w:t>,</w:t>
      </w:r>
      <w:r w:rsidR="00F83E51" w:rsidRPr="00F83E51">
        <w:rPr>
          <w:rFonts w:ascii="Arial" w:hAnsi="Arial" w:cs="Arial"/>
          <w:sz w:val="24"/>
          <w:szCs w:val="24"/>
          <w:lang w:val="ro-RO"/>
        </w:rPr>
        <w:t xml:space="preserve"> Lalelelor</w:t>
      </w:r>
      <w:r w:rsidRPr="00F83E51">
        <w:rPr>
          <w:rFonts w:ascii="Arial" w:hAnsi="Arial" w:cs="Arial"/>
          <w:sz w:val="24"/>
          <w:szCs w:val="24"/>
          <w:lang w:val="ro-RO"/>
        </w:rPr>
        <w:t>,</w:t>
      </w:r>
      <w:r w:rsidRPr="00736A6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r w:rsidR="00BA3C05" w:rsidRPr="00BA3C05">
        <w:rPr>
          <w:rFonts w:ascii="Arial" w:hAnsi="Arial" w:cs="Arial"/>
          <w:b/>
          <w:sz w:val="24"/>
          <w:szCs w:val="24"/>
          <w:lang w:val="ro-RO"/>
        </w:rPr>
        <w:t xml:space="preserve"> şi nu se supune evaluării impactului asupra corpurilor de apă</w:t>
      </w:r>
      <w:r w:rsidRPr="00AC427C">
        <w:rPr>
          <w:rFonts w:ascii="Arial" w:hAnsi="Arial" w:cs="Arial"/>
          <w:b/>
          <w:sz w:val="24"/>
          <w:szCs w:val="24"/>
          <w:lang w:val="ro-RO"/>
        </w:rPr>
        <w:t>.</w:t>
      </w:r>
    </w:p>
    <w:p w:rsidR="00BD084C" w:rsidRPr="00282EA6" w:rsidRDefault="00BD084C" w:rsidP="00F56EB7">
      <w:pPr>
        <w:autoSpaceDE w:val="0"/>
        <w:autoSpaceDN w:val="0"/>
        <w:adjustRightInd w:val="0"/>
        <w:spacing w:before="120" w:after="0" w:line="240" w:lineRule="auto"/>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DD37E3">
        <w:rPr>
          <w:rFonts w:ascii="Arial" w:hAnsi="Arial" w:cs="Arial"/>
          <w:sz w:val="24"/>
          <w:szCs w:val="24"/>
          <w:lang w:val="ro-RO"/>
        </w:rPr>
        <w:t xml:space="preserve"> </w:t>
      </w:r>
      <w:r w:rsidR="00DD37E3" w:rsidRPr="00DD37E3">
        <w:rPr>
          <w:rFonts w:ascii="Arial" w:hAnsi="Arial" w:cs="Arial"/>
          <w:sz w:val="24"/>
          <w:szCs w:val="24"/>
          <w:lang w:val="ro-RO"/>
        </w:rPr>
        <w:t>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DA19A9" w:rsidRPr="00DA19A9">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w:t>
      </w:r>
      <w:r w:rsidR="00B03B2F">
        <w:rPr>
          <w:rFonts w:ascii="Arial" w:hAnsi="Arial" w:cs="Arial"/>
          <w:sz w:val="24"/>
          <w:szCs w:val="24"/>
          <w:lang w:val="ro-RO"/>
        </w:rPr>
        <w:t>Magazin Sălăjean</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370FAA">
        <w:rPr>
          <w:rFonts w:ascii="Arial" w:hAnsi="Arial" w:cs="Arial"/>
          <w:sz w:val="24"/>
          <w:szCs w:val="24"/>
          <w:lang w:val="ro-RO"/>
        </w:rPr>
        <w:t xml:space="preserve">Comunei </w:t>
      </w:r>
      <w:r w:rsidR="00164EF1" w:rsidRPr="00164EF1">
        <w:rPr>
          <w:rFonts w:ascii="Arial" w:hAnsi="Arial" w:cs="Arial"/>
          <w:sz w:val="24"/>
          <w:szCs w:val="24"/>
          <w:lang w:val="ro-RO"/>
        </w:rPr>
        <w:t>Șărmășag</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901C6C" w:rsidRPr="00AF319C" w:rsidRDefault="006C4C39" w:rsidP="0031689C">
      <w:pPr>
        <w:autoSpaceDE w:val="0"/>
        <w:autoSpaceDN w:val="0"/>
        <w:adjustRightInd w:val="0"/>
        <w:spacing w:after="0" w:line="240" w:lineRule="auto"/>
        <w:ind w:firstLine="284"/>
        <w:jc w:val="both"/>
        <w:rPr>
          <w:rFonts w:ascii="Arial" w:eastAsiaTheme="minorHAnsi" w:hAnsi="Arial" w:cs="Arial"/>
          <w:sz w:val="24"/>
          <w:szCs w:val="24"/>
          <w:lang w:val="ro-RO"/>
        </w:rPr>
      </w:pPr>
      <w:r w:rsidRPr="00AF319C">
        <w:rPr>
          <w:rFonts w:ascii="Arial" w:hAnsi="Arial" w:cs="Arial"/>
          <w:sz w:val="24"/>
          <w:szCs w:val="24"/>
          <w:lang w:val="ro-RO"/>
        </w:rPr>
        <w:t>P</w:t>
      </w:r>
      <w:r w:rsidR="005A6C47" w:rsidRPr="00AF319C">
        <w:rPr>
          <w:rFonts w:ascii="Arial" w:hAnsi="Arial" w:cs="Arial"/>
          <w:sz w:val="24"/>
          <w:szCs w:val="24"/>
          <w:lang w:val="ro-RO"/>
        </w:rPr>
        <w:t xml:space="preserve">rin proiect se propune </w:t>
      </w:r>
      <w:bookmarkStart w:id="0" w:name="__RefHeading__506_829542384"/>
      <w:bookmarkEnd w:id="0"/>
      <w:r w:rsidR="00E435DE" w:rsidRPr="00AF319C">
        <w:rPr>
          <w:rFonts w:ascii="Arial" w:eastAsiaTheme="minorHAnsi" w:hAnsi="Arial" w:cs="Arial"/>
          <w:sz w:val="24"/>
          <w:szCs w:val="24"/>
          <w:lang w:val="ro-RO"/>
        </w:rPr>
        <w:t>realizare</w:t>
      </w:r>
      <w:r w:rsidR="00901C6C" w:rsidRPr="00AF319C">
        <w:rPr>
          <w:rFonts w:ascii="Arial" w:eastAsiaTheme="minorHAnsi" w:hAnsi="Arial" w:cs="Arial"/>
          <w:sz w:val="24"/>
          <w:szCs w:val="24"/>
          <w:lang w:val="ro-RO"/>
        </w:rPr>
        <w:t xml:space="preserve">a </w:t>
      </w:r>
      <w:r w:rsidR="0031689C" w:rsidRPr="00AF319C">
        <w:rPr>
          <w:rFonts w:ascii="Arial" w:eastAsiaTheme="minorHAnsi" w:hAnsi="Arial" w:cs="Arial"/>
          <w:sz w:val="24"/>
          <w:szCs w:val="24"/>
          <w:lang w:val="ro-RO"/>
        </w:rPr>
        <w:t>unei extinderi a rețelei de apă existente</w:t>
      </w:r>
      <w:r w:rsidR="00680274" w:rsidRPr="00AF319C">
        <w:rPr>
          <w:rFonts w:ascii="Arial" w:eastAsiaTheme="minorHAnsi" w:hAnsi="Arial" w:cs="Arial"/>
          <w:sz w:val="24"/>
          <w:szCs w:val="24"/>
          <w:lang w:val="ro-RO"/>
        </w:rPr>
        <w:t xml:space="preserve"> cu 2740 m, prin cuplare în conducte existente, </w:t>
      </w:r>
      <w:r w:rsidR="0031689C" w:rsidRPr="00AF319C">
        <w:rPr>
          <w:rFonts w:ascii="Arial" w:eastAsiaTheme="minorHAnsi" w:hAnsi="Arial" w:cs="Arial"/>
          <w:sz w:val="24"/>
          <w:szCs w:val="24"/>
          <w:lang w:val="ro-RO"/>
        </w:rPr>
        <w:t>în localitatea Șărmășag</w:t>
      </w:r>
      <w:r w:rsidR="008A0465" w:rsidRPr="00AF319C">
        <w:rPr>
          <w:rFonts w:ascii="Arial" w:eastAsiaTheme="minorHAnsi" w:hAnsi="Arial" w:cs="Arial"/>
          <w:sz w:val="24"/>
          <w:szCs w:val="24"/>
          <w:lang w:val="ro-RO"/>
        </w:rPr>
        <w:t>, stăzile Teilor (parțial), Lente, Gării (parțial), Albinei, Recoltei, Lalelelor</w:t>
      </w:r>
      <w:r w:rsidR="00680274" w:rsidRPr="00AF319C">
        <w:rPr>
          <w:rFonts w:ascii="Arial" w:eastAsiaTheme="minorHAnsi" w:hAnsi="Arial" w:cs="Arial"/>
          <w:sz w:val="24"/>
          <w:szCs w:val="24"/>
          <w:lang w:val="ro-RO"/>
        </w:rPr>
        <w:t xml:space="preserve"> și pe o porțiune de-a lungul drumului național E81, unde sunt perspective de dezvoltare ale zonei</w:t>
      </w:r>
      <w:r w:rsidR="0031689C" w:rsidRPr="00AF319C">
        <w:rPr>
          <w:rFonts w:ascii="Arial" w:eastAsiaTheme="minorHAnsi" w:hAnsi="Arial" w:cs="Arial"/>
          <w:sz w:val="24"/>
          <w:szCs w:val="24"/>
          <w:lang w:val="ro-RO"/>
        </w:rPr>
        <w:t>.</w:t>
      </w:r>
    </w:p>
    <w:p w:rsidR="004A7095" w:rsidRPr="00AF319C" w:rsidRDefault="004A7095" w:rsidP="0031689C">
      <w:pPr>
        <w:autoSpaceDE w:val="0"/>
        <w:autoSpaceDN w:val="0"/>
        <w:adjustRightInd w:val="0"/>
        <w:spacing w:after="0" w:line="240" w:lineRule="auto"/>
        <w:ind w:firstLine="284"/>
        <w:jc w:val="both"/>
        <w:rPr>
          <w:rFonts w:ascii="Arial" w:eastAsiaTheme="minorHAnsi" w:hAnsi="Arial" w:cs="Arial"/>
          <w:sz w:val="24"/>
          <w:szCs w:val="24"/>
          <w:lang w:val="ro-RO"/>
        </w:rPr>
      </w:pPr>
      <w:r w:rsidRPr="00AF319C">
        <w:rPr>
          <w:rFonts w:ascii="Arial" w:eastAsiaTheme="minorHAnsi" w:hAnsi="Arial" w:cs="Arial"/>
          <w:sz w:val="24"/>
          <w:szCs w:val="24"/>
          <w:lang w:val="ro-RO"/>
        </w:rPr>
        <w:t>Rețelele propuse se vor executa din teavă de polietilenă PEHD, Pn 10 bari, cu următoarele diametre:</w:t>
      </w:r>
    </w:p>
    <w:p w:rsidR="004A7095" w:rsidRPr="00AF319C" w:rsidRDefault="004A7095" w:rsidP="004A7095">
      <w:pPr>
        <w:numPr>
          <w:ilvl w:val="0"/>
          <w:numId w:val="42"/>
        </w:numPr>
        <w:autoSpaceDE w:val="0"/>
        <w:autoSpaceDN w:val="0"/>
        <w:adjustRightInd w:val="0"/>
        <w:spacing w:after="0" w:line="240" w:lineRule="auto"/>
        <w:jc w:val="both"/>
        <w:rPr>
          <w:rFonts w:ascii="Arial" w:eastAsiaTheme="minorHAnsi" w:hAnsi="Arial" w:cs="Arial"/>
          <w:sz w:val="24"/>
          <w:szCs w:val="24"/>
          <w:lang w:val="ro-RO"/>
        </w:rPr>
      </w:pPr>
      <w:r w:rsidRPr="00AF319C">
        <w:rPr>
          <w:rFonts w:ascii="Arial" w:eastAsiaTheme="minorHAnsi" w:hAnsi="Arial" w:cs="Arial"/>
          <w:sz w:val="24"/>
          <w:szCs w:val="24"/>
          <w:lang w:val="ro-RO"/>
        </w:rPr>
        <w:t>Dn 110 mm, L=1830 m pe străzile: Teilor, Lente și Gării;</w:t>
      </w:r>
    </w:p>
    <w:p w:rsidR="004A7095" w:rsidRPr="00AF319C" w:rsidRDefault="004A7095" w:rsidP="004A7095">
      <w:pPr>
        <w:numPr>
          <w:ilvl w:val="0"/>
          <w:numId w:val="42"/>
        </w:numPr>
        <w:autoSpaceDE w:val="0"/>
        <w:autoSpaceDN w:val="0"/>
        <w:adjustRightInd w:val="0"/>
        <w:spacing w:after="0" w:line="240" w:lineRule="auto"/>
        <w:jc w:val="both"/>
        <w:rPr>
          <w:rFonts w:ascii="Arial" w:eastAsiaTheme="minorHAnsi" w:hAnsi="Arial" w:cs="Arial"/>
          <w:sz w:val="24"/>
          <w:szCs w:val="24"/>
          <w:lang w:val="ro-RO"/>
        </w:rPr>
      </w:pPr>
      <w:r w:rsidRPr="00AF319C">
        <w:rPr>
          <w:rFonts w:ascii="Arial" w:eastAsiaTheme="minorHAnsi" w:hAnsi="Arial" w:cs="Arial"/>
          <w:sz w:val="24"/>
          <w:szCs w:val="24"/>
          <w:lang w:val="ro-RO"/>
        </w:rPr>
        <w:t>Dn 90 mm, L=500 m, reabilitare str. Albinei;</w:t>
      </w:r>
    </w:p>
    <w:p w:rsidR="004A7095" w:rsidRPr="00AF319C" w:rsidRDefault="004A7095" w:rsidP="004A7095">
      <w:pPr>
        <w:numPr>
          <w:ilvl w:val="0"/>
          <w:numId w:val="42"/>
        </w:numPr>
        <w:autoSpaceDE w:val="0"/>
        <w:autoSpaceDN w:val="0"/>
        <w:adjustRightInd w:val="0"/>
        <w:spacing w:after="0" w:line="240" w:lineRule="auto"/>
        <w:jc w:val="both"/>
        <w:rPr>
          <w:rFonts w:ascii="Arial" w:eastAsiaTheme="minorHAnsi" w:hAnsi="Arial" w:cs="Arial"/>
          <w:sz w:val="24"/>
          <w:szCs w:val="24"/>
          <w:lang w:val="ro-RO"/>
        </w:rPr>
      </w:pPr>
      <w:r w:rsidRPr="00AF319C">
        <w:rPr>
          <w:rFonts w:ascii="Arial" w:eastAsiaTheme="minorHAnsi" w:hAnsi="Arial" w:cs="Arial"/>
          <w:sz w:val="24"/>
          <w:szCs w:val="24"/>
          <w:lang w:val="ro-RO"/>
        </w:rPr>
        <w:t>Dn 63 mm: L=120 m pe str. Recoltei; L=130 m pe str. Lalelelor; L=160 m pe str. Albinei;</w:t>
      </w:r>
    </w:p>
    <w:p w:rsidR="004A7095" w:rsidRPr="00AF319C" w:rsidRDefault="004A7095" w:rsidP="004A7095">
      <w:pPr>
        <w:autoSpaceDE w:val="0"/>
        <w:autoSpaceDN w:val="0"/>
        <w:adjustRightInd w:val="0"/>
        <w:spacing w:after="0" w:line="240" w:lineRule="auto"/>
        <w:ind w:firstLine="720"/>
        <w:jc w:val="both"/>
        <w:rPr>
          <w:rFonts w:ascii="Arial" w:eastAsiaTheme="minorHAnsi" w:hAnsi="Arial" w:cs="Arial"/>
          <w:sz w:val="24"/>
          <w:szCs w:val="24"/>
          <w:lang w:val="ro-RO"/>
        </w:rPr>
      </w:pPr>
      <w:r w:rsidRPr="00AF319C">
        <w:rPr>
          <w:rFonts w:ascii="Arial" w:eastAsiaTheme="minorHAnsi" w:hAnsi="Arial" w:cs="Arial"/>
          <w:sz w:val="24"/>
          <w:szCs w:val="24"/>
          <w:lang w:val="ro-RO"/>
        </w:rPr>
        <w:t xml:space="preserve">Pe traseul extinderii se vor monta 11 buc. cămine de vane. De asemenea se vor executa 90 de branșamente </w:t>
      </w:r>
      <w:r w:rsidR="00AF319C" w:rsidRPr="00AF319C">
        <w:rPr>
          <w:rFonts w:ascii="Arial" w:eastAsiaTheme="minorHAnsi" w:hAnsi="Arial" w:cs="Arial"/>
          <w:sz w:val="24"/>
          <w:szCs w:val="24"/>
          <w:lang w:val="ro-RO"/>
        </w:rPr>
        <w:t>până la limita de proprietate fără cămin de apometru. Racordurile se vor executa din țevă PE 25 mm cu PN 10 mm cu lungimea medie de 5 m.</w:t>
      </w:r>
    </w:p>
    <w:p w:rsidR="00AF319C" w:rsidRPr="00AF319C" w:rsidRDefault="00AF319C" w:rsidP="00AF319C">
      <w:pPr>
        <w:autoSpaceDE w:val="0"/>
        <w:autoSpaceDN w:val="0"/>
        <w:adjustRightInd w:val="0"/>
        <w:spacing w:after="0" w:line="240" w:lineRule="auto"/>
        <w:ind w:firstLine="720"/>
        <w:jc w:val="both"/>
        <w:rPr>
          <w:rFonts w:ascii="Arial" w:eastAsiaTheme="minorHAnsi" w:hAnsi="Arial" w:cs="Arial"/>
          <w:sz w:val="24"/>
          <w:szCs w:val="24"/>
          <w:lang w:val="ro-RO"/>
        </w:rPr>
      </w:pPr>
      <w:r w:rsidRPr="00AF319C">
        <w:rPr>
          <w:rFonts w:ascii="Arial" w:eastAsiaTheme="minorHAnsi" w:hAnsi="Arial" w:cs="Arial"/>
          <w:sz w:val="24"/>
          <w:szCs w:val="24"/>
          <w:lang w:val="ro-RO"/>
        </w:rPr>
        <w:t xml:space="preserve">Conform avizului de gospodărire a apelor </w:t>
      </w:r>
      <w:r w:rsidRPr="00AF319C">
        <w:rPr>
          <w:rFonts w:ascii="Arial" w:hAnsi="Arial" w:cs="Arial"/>
          <w:sz w:val="24"/>
          <w:szCs w:val="24"/>
          <w:lang w:val="ro-RO"/>
        </w:rPr>
        <w:t>coordonatele Stereo 1970 pentru punctele de conectare la rețeaua existentă (început lucrare), respectiv ale capetelor extinderilor (sfârșit lucrare) sunt:</w:t>
      </w:r>
    </w:p>
    <w:p w:rsidR="00AF319C" w:rsidRPr="00AF319C" w:rsidRDefault="00AF319C" w:rsidP="00AF319C">
      <w:pPr>
        <w:spacing w:after="0" w:line="240" w:lineRule="auto"/>
        <w:ind w:left="360"/>
        <w:jc w:val="both"/>
        <w:rPr>
          <w:rFonts w:ascii="Arial" w:hAnsi="Arial" w:cs="Arial"/>
          <w:color w:val="FF0000"/>
          <w:sz w:val="24"/>
          <w:szCs w:val="24"/>
          <w:lang w:val="ro-RO"/>
        </w:rPr>
      </w:pPr>
    </w:p>
    <w:tbl>
      <w:tblPr>
        <w:tblStyle w:val="TableGrid"/>
        <w:tblW w:w="0" w:type="auto"/>
        <w:tblInd w:w="-147" w:type="dxa"/>
        <w:tblLook w:val="04A0" w:firstRow="1" w:lastRow="0" w:firstColumn="1" w:lastColumn="0" w:noHBand="0" w:noVBand="1"/>
      </w:tblPr>
      <w:tblGrid>
        <w:gridCol w:w="2694"/>
        <w:gridCol w:w="1843"/>
        <w:gridCol w:w="1701"/>
        <w:gridCol w:w="1842"/>
        <w:gridCol w:w="1694"/>
      </w:tblGrid>
      <w:tr w:rsidR="00AF319C" w:rsidRPr="00AF319C" w:rsidTr="00CD4F83">
        <w:tc>
          <w:tcPr>
            <w:tcW w:w="2694" w:type="dxa"/>
            <w:vMerge w:val="restart"/>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Strada</w:t>
            </w:r>
          </w:p>
        </w:tc>
        <w:tc>
          <w:tcPr>
            <w:tcW w:w="3544" w:type="dxa"/>
            <w:gridSpan w:val="2"/>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punct cuplare rețea existentă</w:t>
            </w:r>
          </w:p>
        </w:tc>
        <w:tc>
          <w:tcPr>
            <w:tcW w:w="3536" w:type="dxa"/>
            <w:gridSpan w:val="2"/>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punct final rețea proiectată</w:t>
            </w:r>
          </w:p>
        </w:tc>
      </w:tr>
      <w:tr w:rsidR="00AF319C" w:rsidRPr="00AF319C" w:rsidTr="00CD4F83">
        <w:tc>
          <w:tcPr>
            <w:tcW w:w="2694" w:type="dxa"/>
            <w:vMerge/>
          </w:tcPr>
          <w:p w:rsidR="00AF319C" w:rsidRPr="00AF319C" w:rsidRDefault="00AF319C" w:rsidP="00AF319C">
            <w:pPr>
              <w:jc w:val="both"/>
              <w:rPr>
                <w:rFonts w:ascii="Arial" w:hAnsi="Arial" w:cs="Arial"/>
                <w:color w:val="FF0000"/>
                <w:sz w:val="24"/>
                <w:szCs w:val="24"/>
                <w:lang w:val="ro-RO"/>
              </w:rPr>
            </w:pP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X(N)</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Y(E)</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X</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Y</w:t>
            </w:r>
          </w:p>
        </w:tc>
      </w:tr>
      <w:tr w:rsidR="00AF319C" w:rsidRPr="00AF319C" w:rsidTr="00CD4F83">
        <w:tc>
          <w:tcPr>
            <w:tcW w:w="2694" w:type="dxa"/>
          </w:tcPr>
          <w:p w:rsidR="00AF319C" w:rsidRPr="00AF319C" w:rsidRDefault="00AF319C" w:rsidP="00AF319C">
            <w:pPr>
              <w:rPr>
                <w:rFonts w:ascii="Arial" w:hAnsi="Arial" w:cs="Arial"/>
                <w:sz w:val="24"/>
                <w:szCs w:val="24"/>
                <w:lang w:val="ro-RO"/>
              </w:rPr>
            </w:pPr>
            <w:r w:rsidRPr="00AF319C">
              <w:rPr>
                <w:rFonts w:ascii="Arial" w:hAnsi="Arial" w:cs="Arial"/>
                <w:sz w:val="24"/>
                <w:szCs w:val="24"/>
                <w:lang w:val="ro-RO"/>
              </w:rPr>
              <w:t xml:space="preserve">Albinei (nou proiectată) </w:t>
            </w: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652812.19</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334813.43</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654676.45</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334903.31</w:t>
            </w:r>
          </w:p>
        </w:tc>
      </w:tr>
      <w:tr w:rsidR="00AF319C" w:rsidRPr="00AF319C" w:rsidTr="00CD4F83">
        <w:tc>
          <w:tcPr>
            <w:tcW w:w="2694" w:type="dxa"/>
          </w:tcPr>
          <w:p w:rsidR="00AF319C" w:rsidRPr="00AF319C" w:rsidRDefault="00AF319C" w:rsidP="00AF319C">
            <w:pPr>
              <w:jc w:val="both"/>
              <w:rPr>
                <w:rFonts w:ascii="Arial" w:hAnsi="Arial" w:cs="Arial"/>
                <w:sz w:val="24"/>
                <w:szCs w:val="24"/>
                <w:lang w:val="ro-RO"/>
              </w:rPr>
            </w:pPr>
            <w:r w:rsidRPr="00AF319C">
              <w:rPr>
                <w:rFonts w:ascii="Arial" w:hAnsi="Arial" w:cs="Arial"/>
                <w:sz w:val="24"/>
                <w:szCs w:val="24"/>
                <w:lang w:val="ro-RO"/>
              </w:rPr>
              <w:t>Albinei (reabilitată)</w:t>
            </w: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652812.19</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334813.43</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654432.98</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334973.18</w:t>
            </w:r>
          </w:p>
        </w:tc>
      </w:tr>
      <w:tr w:rsidR="00AF319C" w:rsidRPr="00AF319C" w:rsidTr="00CD4F83">
        <w:tc>
          <w:tcPr>
            <w:tcW w:w="2694" w:type="dxa"/>
          </w:tcPr>
          <w:p w:rsidR="00AF319C" w:rsidRPr="00AF319C" w:rsidRDefault="00AF319C" w:rsidP="00AF319C">
            <w:pPr>
              <w:jc w:val="both"/>
              <w:rPr>
                <w:rFonts w:ascii="Arial" w:hAnsi="Arial" w:cs="Arial"/>
                <w:sz w:val="24"/>
                <w:szCs w:val="24"/>
                <w:lang w:val="ro-RO"/>
              </w:rPr>
            </w:pPr>
            <w:r w:rsidRPr="00AF319C">
              <w:rPr>
                <w:rFonts w:ascii="Arial" w:hAnsi="Arial" w:cs="Arial"/>
                <w:sz w:val="24"/>
                <w:szCs w:val="24"/>
                <w:lang w:val="ro-RO"/>
              </w:rPr>
              <w:t>Lalelelor</w:t>
            </w: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652600.33</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335574.59</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652568.62</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335457.17</w:t>
            </w:r>
          </w:p>
        </w:tc>
      </w:tr>
      <w:tr w:rsidR="00AF319C" w:rsidRPr="00AF319C" w:rsidTr="00CD4F83">
        <w:tc>
          <w:tcPr>
            <w:tcW w:w="2694" w:type="dxa"/>
          </w:tcPr>
          <w:p w:rsidR="00AF319C" w:rsidRPr="00AF319C" w:rsidRDefault="00AF319C" w:rsidP="00AF319C">
            <w:pPr>
              <w:jc w:val="both"/>
              <w:rPr>
                <w:rFonts w:ascii="Arial" w:hAnsi="Arial" w:cs="Arial"/>
                <w:sz w:val="24"/>
                <w:szCs w:val="24"/>
                <w:lang w:val="ro-RO"/>
              </w:rPr>
            </w:pPr>
            <w:r w:rsidRPr="00AF319C">
              <w:rPr>
                <w:rFonts w:ascii="Arial" w:hAnsi="Arial" w:cs="Arial"/>
                <w:sz w:val="24"/>
                <w:szCs w:val="24"/>
                <w:lang w:val="ro-RO"/>
              </w:rPr>
              <w:t>Recoltei</w:t>
            </w: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652521.92</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335600.39</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652494.04</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335492.57</w:t>
            </w:r>
          </w:p>
        </w:tc>
      </w:tr>
      <w:tr w:rsidR="00AF319C" w:rsidRPr="00AF319C" w:rsidTr="00CD4F83">
        <w:tc>
          <w:tcPr>
            <w:tcW w:w="2694" w:type="dxa"/>
          </w:tcPr>
          <w:p w:rsidR="00AF319C" w:rsidRPr="00AF319C" w:rsidRDefault="00AF319C" w:rsidP="00AF319C">
            <w:pPr>
              <w:jc w:val="both"/>
              <w:rPr>
                <w:rFonts w:ascii="Arial" w:hAnsi="Arial" w:cs="Arial"/>
                <w:sz w:val="24"/>
                <w:szCs w:val="24"/>
                <w:lang w:val="ro-RO"/>
              </w:rPr>
            </w:pPr>
            <w:r w:rsidRPr="00AF319C">
              <w:rPr>
                <w:rFonts w:ascii="Arial" w:hAnsi="Arial" w:cs="Arial"/>
                <w:sz w:val="24"/>
                <w:szCs w:val="24"/>
                <w:lang w:val="ro-RO"/>
              </w:rPr>
              <w:t xml:space="preserve">Lente </w:t>
            </w: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651268.88</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336847.59</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650687.19</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337241.03</w:t>
            </w:r>
          </w:p>
        </w:tc>
      </w:tr>
      <w:tr w:rsidR="00AF319C" w:rsidRPr="00AF319C" w:rsidTr="00CD4F83">
        <w:tc>
          <w:tcPr>
            <w:tcW w:w="2694" w:type="dxa"/>
          </w:tcPr>
          <w:p w:rsidR="00AF319C" w:rsidRPr="00AF319C" w:rsidRDefault="00AF319C" w:rsidP="00AF319C">
            <w:pPr>
              <w:jc w:val="both"/>
              <w:rPr>
                <w:rFonts w:ascii="Arial" w:hAnsi="Arial" w:cs="Arial"/>
                <w:sz w:val="24"/>
                <w:szCs w:val="24"/>
                <w:lang w:val="ro-RO"/>
              </w:rPr>
            </w:pPr>
            <w:r w:rsidRPr="00AF319C">
              <w:rPr>
                <w:rFonts w:ascii="Arial" w:hAnsi="Arial" w:cs="Arial"/>
                <w:sz w:val="24"/>
                <w:szCs w:val="24"/>
                <w:lang w:val="ro-RO"/>
              </w:rPr>
              <w:t>Gării</w:t>
            </w:r>
          </w:p>
        </w:tc>
        <w:tc>
          <w:tcPr>
            <w:tcW w:w="1843"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650984.68</w:t>
            </w:r>
          </w:p>
        </w:tc>
        <w:tc>
          <w:tcPr>
            <w:tcW w:w="1701"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336844.53</w:t>
            </w:r>
          </w:p>
        </w:tc>
        <w:tc>
          <w:tcPr>
            <w:tcW w:w="1842"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650654.41</w:t>
            </w:r>
          </w:p>
        </w:tc>
        <w:tc>
          <w:tcPr>
            <w:tcW w:w="1694" w:type="dxa"/>
          </w:tcPr>
          <w:p w:rsidR="00AF319C" w:rsidRPr="00AF319C" w:rsidRDefault="00AF319C" w:rsidP="00AF319C">
            <w:pPr>
              <w:jc w:val="center"/>
              <w:rPr>
                <w:rFonts w:ascii="Arial" w:hAnsi="Arial" w:cs="Arial"/>
                <w:sz w:val="24"/>
                <w:szCs w:val="24"/>
                <w:lang w:val="ro-RO"/>
              </w:rPr>
            </w:pPr>
            <w:r w:rsidRPr="00AF319C">
              <w:rPr>
                <w:rFonts w:ascii="Arial" w:hAnsi="Arial" w:cs="Arial"/>
                <w:sz w:val="24"/>
                <w:szCs w:val="24"/>
                <w:lang w:val="ro-RO"/>
              </w:rPr>
              <w:t>337306.04</w:t>
            </w:r>
          </w:p>
        </w:tc>
      </w:tr>
    </w:tbl>
    <w:p w:rsidR="004A7095" w:rsidRDefault="004A7095" w:rsidP="00AF319C">
      <w:pPr>
        <w:autoSpaceDE w:val="0"/>
        <w:autoSpaceDN w:val="0"/>
        <w:adjustRightInd w:val="0"/>
        <w:spacing w:after="0" w:line="240" w:lineRule="auto"/>
        <w:jc w:val="both"/>
        <w:rPr>
          <w:rFonts w:ascii="Arial" w:eastAsiaTheme="minorHAnsi" w:hAnsi="Arial" w:cs="Arial"/>
          <w:sz w:val="23"/>
          <w:szCs w:val="23"/>
          <w:lang w:val="ro-RO"/>
        </w:rPr>
      </w:pPr>
    </w:p>
    <w:p w:rsidR="005A6C47" w:rsidRPr="00FF7B44" w:rsidRDefault="005A6C47"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Pr="00FF7B44">
        <w:rPr>
          <w:rFonts w:ascii="Arial" w:hAnsi="Arial" w:cs="Arial"/>
          <w:sz w:val="24"/>
          <w:szCs w:val="24"/>
          <w:lang w:val="ro-RO"/>
        </w:rPr>
        <w:t>-</w:t>
      </w:r>
      <w:r w:rsidR="0077665D">
        <w:rPr>
          <w:rFonts w:ascii="Arial" w:hAnsi="Arial" w:cs="Arial"/>
          <w:noProof/>
          <w:sz w:val="24"/>
          <w:szCs w:val="24"/>
          <w:lang w:val="ro-RO"/>
        </w:rPr>
        <w:t xml:space="preserve"> </w:t>
      </w:r>
      <w:r w:rsidR="00AF319C">
        <w:rPr>
          <w:rFonts w:ascii="Arial" w:hAnsi="Arial" w:cs="Arial"/>
          <w:noProof/>
          <w:sz w:val="24"/>
          <w:szCs w:val="24"/>
          <w:lang w:val="ro-RO"/>
        </w:rPr>
        <w:t>comuna</w:t>
      </w:r>
      <w:r w:rsidR="0030331C">
        <w:rPr>
          <w:rFonts w:ascii="Arial" w:hAnsi="Arial" w:cs="Arial"/>
          <w:noProof/>
          <w:sz w:val="24"/>
          <w:szCs w:val="24"/>
          <w:lang w:val="ro-RO"/>
        </w:rPr>
        <w:t xml:space="preserve"> </w:t>
      </w:r>
      <w:r w:rsidR="009368FF" w:rsidRPr="009368FF">
        <w:rPr>
          <w:rFonts w:ascii="Arial" w:hAnsi="Arial" w:cs="Arial"/>
          <w:noProof/>
          <w:sz w:val="24"/>
          <w:szCs w:val="24"/>
          <w:lang w:val="ro-RO"/>
        </w:rPr>
        <w:t>Șărmășag</w:t>
      </w:r>
      <w:r w:rsidR="0030331C">
        <w:rPr>
          <w:rFonts w:ascii="Arial" w:hAnsi="Arial" w:cs="Arial"/>
          <w:noProof/>
          <w:sz w:val="24"/>
          <w:szCs w:val="24"/>
          <w:lang w:val="ro-RO"/>
        </w:rPr>
        <w:t xml:space="preserve"> </w:t>
      </w:r>
      <w:r w:rsidR="00D11E95">
        <w:rPr>
          <w:rFonts w:ascii="Arial" w:hAnsi="Arial" w:cs="Arial"/>
          <w:noProof/>
          <w:sz w:val="24"/>
          <w:szCs w:val="24"/>
          <w:lang w:val="ro-RO"/>
        </w:rPr>
        <w:t xml:space="preserve">derulează </w:t>
      </w:r>
      <w:r w:rsidR="00AF319C">
        <w:rPr>
          <w:rFonts w:ascii="Arial" w:hAnsi="Arial" w:cs="Arial"/>
          <w:noProof/>
          <w:sz w:val="24"/>
          <w:szCs w:val="24"/>
          <w:lang w:val="ro-RO"/>
        </w:rPr>
        <w:t xml:space="preserve">alt proiect, în paralel cu acesta </w:t>
      </w:r>
      <w:r w:rsidR="00D11E95">
        <w:rPr>
          <w:rFonts w:ascii="Arial" w:hAnsi="Arial" w:cs="Arial"/>
          <w:noProof/>
          <w:sz w:val="24"/>
          <w:szCs w:val="24"/>
          <w:lang w:val="ro-RO"/>
        </w:rPr>
        <w:t>și anume: ”</w:t>
      </w:r>
      <w:r w:rsidR="00D11E95" w:rsidRPr="00D11E95">
        <w:rPr>
          <w:rFonts w:ascii="Arial" w:hAnsi="Arial" w:cs="Arial"/>
          <w:i/>
          <w:noProof/>
          <w:sz w:val="24"/>
          <w:szCs w:val="24"/>
          <w:lang w:val="ro-RO"/>
        </w:rPr>
        <w:t>Extindere rețea de canalizare menajeră în comuna Sărmășag, județul Sălaj</w:t>
      </w:r>
      <w:r w:rsidR="00D11E95" w:rsidRPr="00D11E95">
        <w:rPr>
          <w:rFonts w:ascii="Arial" w:hAnsi="Arial" w:cs="Arial"/>
          <w:i/>
          <w:noProof/>
          <w:sz w:val="24"/>
          <w:szCs w:val="24"/>
        </w:rPr>
        <w:t xml:space="preserve">”, </w:t>
      </w:r>
      <w:r w:rsidR="00D11E95" w:rsidRPr="00D11E95">
        <w:rPr>
          <w:rFonts w:ascii="Arial" w:hAnsi="Arial" w:cs="Arial"/>
          <w:noProof/>
          <w:sz w:val="24"/>
          <w:szCs w:val="24"/>
          <w:lang w:val="ro-RO"/>
        </w:rPr>
        <w:t>cu descărcare în rețelele de canalizare menajeră locale, existente, ra</w:t>
      </w:r>
      <w:r w:rsidR="00D11E95">
        <w:rPr>
          <w:rFonts w:ascii="Arial" w:hAnsi="Arial" w:cs="Arial"/>
          <w:noProof/>
          <w:sz w:val="24"/>
          <w:szCs w:val="24"/>
          <w:lang w:val="ro-RO"/>
        </w:rPr>
        <w:t>cordate la stația de epurare din localitatea</w:t>
      </w:r>
      <w:r w:rsidR="00D11E95" w:rsidRPr="00D11E95">
        <w:rPr>
          <w:rFonts w:ascii="Arial" w:hAnsi="Arial" w:cs="Arial"/>
          <w:noProof/>
          <w:sz w:val="24"/>
          <w:szCs w:val="24"/>
          <w:lang w:val="ro-RO"/>
        </w:rPr>
        <w:t xml:space="preserve"> Sărmășag</w:t>
      </w:r>
      <w:r w:rsidR="000A28A6">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7B05DA">
        <w:rPr>
          <w:rFonts w:ascii="Arial" w:hAnsi="Arial" w:cs="Arial"/>
          <w:noProof/>
          <w:sz w:val="24"/>
          <w:szCs w:val="24"/>
          <w:lang w:val="ro-RO"/>
        </w:rPr>
        <w:t>apă,</w:t>
      </w:r>
      <w:r w:rsidR="00C67AE2" w:rsidRPr="00C67AE2">
        <w:rPr>
          <w:rFonts w:ascii="Arial" w:hAnsi="Arial" w:cs="Arial"/>
          <w:noProof/>
          <w:sz w:val="24"/>
          <w:szCs w:val="24"/>
          <w:lang w:val="ro-RO"/>
        </w:rPr>
        <w:t xml:space="preserve">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7B05DA">
        <w:rPr>
          <w:rFonts w:ascii="Arial" w:hAnsi="Arial" w:cs="Arial"/>
          <w:sz w:val="24"/>
          <w:szCs w:val="24"/>
          <w:lang w:val="ro-RO"/>
        </w:rPr>
        <w:t>,</w:t>
      </w:r>
      <w:r w:rsidR="007B05DA" w:rsidRPr="007B05DA">
        <w:rPr>
          <w:rFonts w:ascii="Arial" w:hAnsi="Arial" w:cs="Arial"/>
          <w:color w:val="FF0000"/>
          <w:sz w:val="24"/>
          <w:szCs w:val="24"/>
          <w:lang w:val="ro-RO"/>
        </w:rPr>
        <w:t xml:space="preserve"> </w:t>
      </w:r>
      <w:r w:rsidR="007B05DA" w:rsidRPr="007B05DA">
        <w:rPr>
          <w:rFonts w:ascii="Arial" w:hAnsi="Arial" w:cs="Arial"/>
          <w:sz w:val="24"/>
          <w:szCs w:val="24"/>
          <w:lang w:val="ro-RO"/>
        </w:rPr>
        <w:t>aprobată prin Legea nr.</w:t>
      </w:r>
      <w:r w:rsidR="007B05DA">
        <w:rPr>
          <w:rFonts w:ascii="Arial" w:hAnsi="Arial" w:cs="Arial"/>
          <w:sz w:val="24"/>
          <w:szCs w:val="24"/>
          <w:lang w:val="ro-RO"/>
        </w:rPr>
        <w:t xml:space="preserve"> </w:t>
      </w:r>
      <w:r w:rsidR="007B05DA" w:rsidRPr="007B05DA">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35156E" w:rsidRPr="0035156E"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lastRenderedPageBreak/>
        <w:t>evitarea pierderilor de produse petroliere (motorină, ulei) de la mașini/utilaje, care prin precipitații sau spălări pot să ajungă în pânza de apă freatică</w:t>
      </w:r>
      <w:r w:rsidR="0035156E">
        <w:rPr>
          <w:rFonts w:ascii="Arial" w:hAnsi="Arial" w:cs="Arial"/>
          <w:bCs/>
          <w:noProof/>
          <w:sz w:val="24"/>
          <w:szCs w:val="24"/>
          <w:lang w:val="ro-RO"/>
        </w:rPr>
        <w:t>;</w:t>
      </w:r>
    </w:p>
    <w:p w:rsidR="00866505" w:rsidRPr="00F630B6" w:rsidRDefault="0035156E"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bCs/>
          <w:noProof/>
          <w:sz w:val="24"/>
          <w:szCs w:val="24"/>
          <w:lang w:val="ro-RO"/>
        </w:rPr>
        <w:t>amplasarea lucrărilor se va face astfel încât să se evite modificarea dinamicii scurgerii apelor de suprafață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5C6F02" w:rsidRDefault="00EC763D" w:rsidP="005C6F02">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r w:rsidR="00A74036" w:rsidRPr="005C6F02">
        <w:rPr>
          <w:rFonts w:ascii="Arial" w:hAnsi="Arial" w:cs="Arial"/>
          <w:bCs/>
          <w:noProof/>
          <w:sz w:val="24"/>
          <w:szCs w:val="24"/>
        </w:rPr>
        <w:t>.</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2E3358" w:rsidRDefault="002E3358" w:rsidP="002E3358">
      <w:pPr>
        <w:numPr>
          <w:ilvl w:val="0"/>
          <w:numId w:val="28"/>
        </w:numPr>
        <w:tabs>
          <w:tab w:val="left" w:pos="709"/>
        </w:tabs>
        <w:spacing w:after="0" w:line="240" w:lineRule="auto"/>
        <w:ind w:left="0" w:firstLine="426"/>
        <w:jc w:val="both"/>
        <w:rPr>
          <w:rFonts w:ascii="Arial" w:hAnsi="Arial" w:cs="Arial"/>
          <w:sz w:val="24"/>
          <w:szCs w:val="24"/>
          <w:lang w:val="ro-RO"/>
        </w:rPr>
      </w:pPr>
      <w:r w:rsidRPr="002E3358">
        <w:rPr>
          <w:rFonts w:ascii="Arial" w:hAnsi="Arial" w:cs="Arial"/>
          <w:sz w:val="24"/>
          <w:szCs w:val="24"/>
          <w:lang w:val="ro-RO"/>
        </w:rPr>
        <w:t>evitarea degradării zonelor învecinate amplasamentului şi a vegetaţiei existente din perimetrul adiacent zonelor de lucru prin staţionarea utilajelor, efectuarea de reparaţii, depozitarea de materiale etc.</w:t>
      </w:r>
      <w:r w:rsidR="00561FFC">
        <w:rPr>
          <w:rFonts w:ascii="Arial" w:hAnsi="Arial" w:cs="Arial"/>
          <w:sz w:val="24"/>
          <w:szCs w:val="24"/>
          <w:lang w:val="ro-RO"/>
        </w:rPr>
        <w:t>;</w:t>
      </w:r>
    </w:p>
    <w:p w:rsidR="00561FFC" w:rsidRDefault="00561FFC" w:rsidP="00561FFC">
      <w:pPr>
        <w:numPr>
          <w:ilvl w:val="0"/>
          <w:numId w:val="28"/>
        </w:numPr>
        <w:tabs>
          <w:tab w:val="left" w:pos="709"/>
        </w:tabs>
        <w:spacing w:after="0" w:line="240" w:lineRule="auto"/>
        <w:ind w:left="0" w:firstLine="426"/>
        <w:jc w:val="both"/>
        <w:rPr>
          <w:rFonts w:ascii="Arial" w:hAnsi="Arial" w:cs="Arial"/>
          <w:sz w:val="24"/>
          <w:szCs w:val="24"/>
          <w:lang w:val="ro-RO"/>
        </w:rPr>
      </w:pPr>
      <w:r w:rsidRPr="00561FFC">
        <w:rPr>
          <w:rFonts w:ascii="Arial" w:hAnsi="Arial" w:cs="Arial"/>
          <w:sz w:val="24"/>
          <w:szCs w:val="24"/>
          <w:lang w:val="ro-RO"/>
        </w:rPr>
        <w:t>se va realiza reconstrucţia ecologică în zonele unde terenul a fost afectat prin lucrările de excavare, depozitare materiale, în scopul redării în circuit la categoria de folosinţă deţinută iniţial</w:t>
      </w:r>
      <w:r w:rsidR="001E2E8E">
        <w:rPr>
          <w:rFonts w:ascii="Arial" w:hAnsi="Arial" w:cs="Arial"/>
          <w:sz w:val="24"/>
          <w:szCs w:val="24"/>
          <w:lang w:val="ro-RO"/>
        </w:rPr>
        <w:t>;</w:t>
      </w:r>
    </w:p>
    <w:p w:rsidR="001E2E8E" w:rsidRPr="001E2E8E"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depozitarea provizorie a pământului excavat se va face pe suprafețe cât mai reduse. Se va delimita fizic, cu exactitate, ampriza, astfel încât să nu se producă distrugeri inutile ale terenurilor adiacente</w:t>
      </w:r>
      <w:r>
        <w:rPr>
          <w:rFonts w:ascii="Arial" w:hAnsi="Arial" w:cs="Arial"/>
          <w:sz w:val="24"/>
          <w:szCs w:val="24"/>
          <w:lang w:val="ro-RO"/>
        </w:rPr>
        <w:t>;</w:t>
      </w:r>
    </w:p>
    <w:p w:rsidR="001E2E8E" w:rsidRPr="0051580A"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se va dispune materialul excavat astfel încât să nu fie antrenat de ape de ploaie</w:t>
      </w:r>
      <w:r w:rsidR="00D11A6E">
        <w:rPr>
          <w:rFonts w:ascii="Arial" w:hAnsi="Arial" w:cs="Arial"/>
          <w:sz w:val="24"/>
          <w:szCs w:val="24"/>
          <w:lang w:val="ro-RO"/>
        </w:rPr>
        <w:t>.</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983195" w:rsidRPr="00722872" w:rsidRDefault="00983195" w:rsidP="00722872">
      <w:pPr>
        <w:numPr>
          <w:ilvl w:val="0"/>
          <w:numId w:val="25"/>
        </w:numPr>
        <w:tabs>
          <w:tab w:val="clear" w:pos="720"/>
        </w:tabs>
        <w:suppressAutoHyphens/>
        <w:spacing w:after="0" w:line="240" w:lineRule="auto"/>
        <w:ind w:left="0" w:firstLine="426"/>
        <w:jc w:val="both"/>
        <w:rPr>
          <w:rFonts w:ascii="Arial" w:hAnsi="Arial" w:cs="Arial"/>
          <w:sz w:val="24"/>
          <w:szCs w:val="24"/>
          <w:lang w:val="ro-RO" w:eastAsia="ar-SA"/>
        </w:rPr>
      </w:pPr>
      <w:r w:rsidRPr="00722872">
        <w:rPr>
          <w:rFonts w:ascii="Arial" w:hAnsi="Arial" w:cs="Arial"/>
          <w:sz w:val="24"/>
          <w:szCs w:val="24"/>
          <w:lang w:val="ro-RO" w:eastAsia="ar-SA"/>
        </w:rPr>
        <w:t>proiectul nu necesită realizarea unei organizări de șantier;</w:t>
      </w:r>
      <w:r w:rsidR="00722872" w:rsidRPr="00722872">
        <w:rPr>
          <w:rFonts w:ascii="Arial" w:hAnsi="Arial" w:cs="Arial"/>
          <w:sz w:val="24"/>
          <w:szCs w:val="24"/>
          <w:lang w:val="ro-RO" w:eastAsia="ar-SA"/>
        </w:rPr>
        <w:t xml:space="preserve"> utilajele, echipamentele și materialele se vor putea parca – depozita în proximitatea primăriei Sărmășag și în zona de parcare, unde se asigură și paza pe timpul nopții respectiv al</w:t>
      </w:r>
      <w:r w:rsidR="005C74B2">
        <w:rPr>
          <w:rFonts w:ascii="Arial" w:hAnsi="Arial" w:cs="Arial"/>
          <w:sz w:val="24"/>
          <w:szCs w:val="24"/>
          <w:lang w:val="ro-RO" w:eastAsia="ar-SA"/>
        </w:rPr>
        <w:t xml:space="preserve"> </w:t>
      </w:r>
      <w:r w:rsidR="00722872" w:rsidRPr="00722872">
        <w:rPr>
          <w:rFonts w:ascii="Arial" w:hAnsi="Arial" w:cs="Arial"/>
          <w:sz w:val="24"/>
          <w:szCs w:val="24"/>
          <w:lang w:val="ro-RO" w:eastAsia="ar-SA"/>
        </w:rPr>
        <w:t>zilelor nelucrătoare</w:t>
      </w:r>
      <w:r w:rsidR="00722872">
        <w:rPr>
          <w:rFonts w:ascii="Arial" w:hAnsi="Arial" w:cs="Arial"/>
          <w:sz w:val="24"/>
          <w:szCs w:val="24"/>
          <w:lang w:val="ro-RO" w:eastAsia="ar-SA"/>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lastRenderedPageBreak/>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14477F">
        <w:rPr>
          <w:rFonts w:ascii="Arial" w:hAnsi="Arial" w:cs="Arial"/>
          <w:sz w:val="24"/>
          <w:szCs w:val="24"/>
          <w:lang w:val="ro-RO"/>
        </w:rPr>
        <w:t xml:space="preserve">ertificatului de urbanism nr. </w:t>
      </w:r>
      <w:r w:rsidR="005F373F">
        <w:rPr>
          <w:rFonts w:ascii="Arial" w:hAnsi="Arial" w:cs="Arial"/>
          <w:sz w:val="24"/>
          <w:szCs w:val="24"/>
          <w:lang w:val="ro-RO"/>
        </w:rPr>
        <w:t>47</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5F373F">
        <w:rPr>
          <w:rFonts w:ascii="Arial" w:hAnsi="Arial" w:cs="Arial"/>
          <w:sz w:val="24"/>
          <w:szCs w:val="24"/>
          <w:lang w:val="ro-RO"/>
        </w:rPr>
        <w:t>31.08</w:t>
      </w:r>
      <w:r w:rsidR="004F0759">
        <w:rPr>
          <w:rFonts w:ascii="Arial" w:hAnsi="Arial" w:cs="Arial"/>
          <w:sz w:val="24"/>
          <w:szCs w:val="24"/>
          <w:lang w:val="ro-RO"/>
        </w:rPr>
        <w:t>.2022</w:t>
      </w:r>
      <w:r w:rsidRPr="007C4CEE">
        <w:rPr>
          <w:rFonts w:ascii="Arial" w:hAnsi="Arial" w:cs="Arial"/>
          <w:sz w:val="24"/>
          <w:szCs w:val="24"/>
          <w:lang w:val="ro-RO"/>
        </w:rPr>
        <w:t xml:space="preserve"> emis de</w:t>
      </w:r>
      <w:r w:rsidR="006C04DD">
        <w:rPr>
          <w:rFonts w:ascii="Arial" w:hAnsi="Arial" w:cs="Arial"/>
          <w:sz w:val="24"/>
          <w:szCs w:val="24"/>
          <w:lang w:val="ro-RO"/>
        </w:rPr>
        <w:t xml:space="preserve"> Comuna </w:t>
      </w:r>
      <w:r w:rsidR="009368FF" w:rsidRPr="009368FF">
        <w:rPr>
          <w:rFonts w:ascii="Arial" w:hAnsi="Arial" w:cs="Arial"/>
          <w:sz w:val="24"/>
          <w:szCs w:val="24"/>
          <w:lang w:val="ro-RO"/>
        </w:rPr>
        <w:t>Șărmășag</w:t>
      </w:r>
      <w:r w:rsidR="006C04DD">
        <w:rPr>
          <w:rFonts w:ascii="Arial" w:hAnsi="Arial" w:cs="Arial"/>
          <w:sz w:val="24"/>
          <w:szCs w:val="24"/>
          <w:lang w:val="ro-RO"/>
        </w:rPr>
        <w:t>, se află în intravilan</w:t>
      </w:r>
      <w:r w:rsidR="00922CFF">
        <w:rPr>
          <w:rFonts w:ascii="Arial" w:hAnsi="Arial" w:cs="Arial"/>
          <w:sz w:val="24"/>
          <w:szCs w:val="24"/>
          <w:lang w:val="ro-RO"/>
        </w:rPr>
        <w:t xml:space="preserve">ul comunei </w:t>
      </w:r>
      <w:r w:rsidR="005F373F" w:rsidRPr="005F373F">
        <w:rPr>
          <w:rFonts w:ascii="Arial" w:hAnsi="Arial" w:cs="Arial"/>
          <w:sz w:val="24"/>
          <w:szCs w:val="24"/>
          <w:lang w:val="ro-RO"/>
        </w:rPr>
        <w:t>Șărmășag</w:t>
      </w:r>
      <w:r w:rsidR="00922CFF">
        <w:rPr>
          <w:rFonts w:ascii="Arial" w:hAnsi="Arial" w:cs="Arial"/>
          <w:sz w:val="24"/>
          <w:szCs w:val="24"/>
          <w:lang w:val="ro-RO"/>
        </w:rPr>
        <w:t>, locali</w:t>
      </w:r>
      <w:r w:rsidR="001961EF">
        <w:rPr>
          <w:rFonts w:ascii="Arial" w:hAnsi="Arial" w:cs="Arial"/>
          <w:sz w:val="24"/>
          <w:szCs w:val="24"/>
          <w:lang w:val="ro-RO"/>
        </w:rPr>
        <w:t>t</w:t>
      </w:r>
      <w:r w:rsidR="00922CFF">
        <w:rPr>
          <w:rFonts w:ascii="Arial" w:hAnsi="Arial" w:cs="Arial"/>
          <w:sz w:val="24"/>
          <w:szCs w:val="24"/>
          <w:lang w:val="ro-RO"/>
        </w:rPr>
        <w:t xml:space="preserve">atea </w:t>
      </w:r>
      <w:r w:rsidR="005F373F" w:rsidRPr="005F373F">
        <w:rPr>
          <w:rFonts w:ascii="Arial" w:hAnsi="Arial" w:cs="Arial"/>
          <w:sz w:val="24"/>
          <w:szCs w:val="24"/>
          <w:lang w:val="ro-RO"/>
        </w:rPr>
        <w:t>Șărmășag</w:t>
      </w:r>
      <w:r w:rsidR="005F373F">
        <w:rPr>
          <w:rFonts w:ascii="Arial" w:hAnsi="Arial" w:cs="Arial"/>
          <w:sz w:val="24"/>
          <w:szCs w:val="24"/>
          <w:lang w:val="ro-RO"/>
        </w:rPr>
        <w:t xml:space="preserve"> și aparține domeniului public al comunei</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w:t>
      </w:r>
      <w:r w:rsidR="00C30759" w:rsidRPr="00282EA6">
        <w:rPr>
          <w:rFonts w:ascii="Arial" w:hAnsi="Arial" w:cs="Arial"/>
          <w:noProof/>
          <w:sz w:val="24"/>
          <w:szCs w:val="24"/>
          <w:lang w:val="ro-RO"/>
        </w:rPr>
        <w:lastRenderedPageBreak/>
        <w:t>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BA54A6" w:rsidRDefault="00C14FC7" w:rsidP="00E024A2">
      <w:pPr>
        <w:autoSpaceDE w:val="0"/>
        <w:autoSpaceDN w:val="0"/>
        <w:adjustRightInd w:val="0"/>
        <w:spacing w:before="120" w:after="0" w:line="240" w:lineRule="auto"/>
        <w:ind w:firstLine="284"/>
        <w:jc w:val="both"/>
        <w:rPr>
          <w:rFonts w:ascii="Arial" w:hAnsi="Arial" w:cs="Arial"/>
          <w:sz w:val="24"/>
          <w:szCs w:val="24"/>
          <w:lang w:val="ro-RO"/>
        </w:rPr>
      </w:pPr>
      <w:r w:rsidRPr="00907414">
        <w:rPr>
          <w:rFonts w:ascii="Arial" w:hAnsi="Arial" w:cs="Arial"/>
          <w:b/>
          <w:sz w:val="24"/>
          <w:szCs w:val="24"/>
          <w:lang w:val="ro-RO"/>
        </w:rPr>
        <w:t xml:space="preserve">III. </w:t>
      </w:r>
      <w:r w:rsidRPr="00907414">
        <w:rPr>
          <w:rFonts w:ascii="Arial" w:hAnsi="Arial" w:cs="Arial"/>
          <w:sz w:val="24"/>
          <w:szCs w:val="24"/>
          <w:lang w:val="ro-RO"/>
        </w:rPr>
        <w:t>Motivele pe baza cărora s-a stabilit necesitatea neefectuării evaluării impactului asupra corpurilor de apă</w:t>
      </w:r>
      <w:r w:rsidR="009961C2" w:rsidRPr="00907414">
        <w:rPr>
          <w:rFonts w:ascii="Arial" w:hAnsi="Arial" w:cs="Arial"/>
          <w:sz w:val="24"/>
          <w:szCs w:val="24"/>
          <w:lang w:val="ro-RO"/>
        </w:rPr>
        <w:t xml:space="preserve">: </w:t>
      </w:r>
    </w:p>
    <w:p w:rsidR="00BA54A6" w:rsidRPr="00BA54A6" w:rsidRDefault="00BA54A6" w:rsidP="00BA54A6">
      <w:pPr>
        <w:spacing w:after="0"/>
        <w:ind w:firstLine="709"/>
        <w:jc w:val="both"/>
        <w:rPr>
          <w:rFonts w:ascii="Arial" w:hAnsi="Arial" w:cs="Arial"/>
          <w:sz w:val="24"/>
          <w:szCs w:val="24"/>
          <w:lang w:val="ro-RO"/>
        </w:rPr>
      </w:pPr>
      <w:r w:rsidRPr="00BA54A6">
        <w:rPr>
          <w:rFonts w:ascii="Arial" w:hAnsi="Arial" w:cs="Arial"/>
          <w:sz w:val="24"/>
          <w:szCs w:val="24"/>
          <w:lang w:val="ro-RO"/>
        </w:rPr>
        <w:t xml:space="preserve">- proiectul propus </w:t>
      </w:r>
      <w:r w:rsidRPr="00BA54A6">
        <w:rPr>
          <w:rFonts w:ascii="Arial" w:hAnsi="Arial" w:cs="Arial"/>
          <w:b/>
          <w:sz w:val="24"/>
          <w:szCs w:val="24"/>
          <w:u w:val="single"/>
          <w:lang w:val="ro-RO"/>
        </w:rPr>
        <w:t>intră</w:t>
      </w:r>
      <w:r w:rsidRPr="00BA54A6">
        <w:rPr>
          <w:rFonts w:ascii="Arial" w:hAnsi="Arial" w:cs="Arial"/>
          <w:sz w:val="24"/>
          <w:szCs w:val="24"/>
          <w:lang w:val="ro-RO"/>
        </w:rPr>
        <w:t xml:space="preserve"> sub incidenţa prevederilor art. 48 şi 54 din Legea apelor nr. 107/1996, cu modificările şi completările ulterioare;</w:t>
      </w:r>
    </w:p>
    <w:p w:rsidR="00BA54A6" w:rsidRPr="00BA54A6" w:rsidRDefault="00BA54A6" w:rsidP="00BA54A6">
      <w:pPr>
        <w:spacing w:after="0"/>
        <w:ind w:firstLine="709"/>
        <w:jc w:val="both"/>
        <w:rPr>
          <w:rFonts w:ascii="Arial" w:hAnsi="Arial" w:cs="Arial"/>
          <w:sz w:val="24"/>
          <w:szCs w:val="24"/>
          <w:lang w:val="ro-RO"/>
        </w:rPr>
      </w:pPr>
      <w:r w:rsidRPr="00BA54A6">
        <w:rPr>
          <w:rFonts w:ascii="Arial" w:hAnsi="Arial" w:cs="Arial"/>
          <w:sz w:val="24"/>
          <w:szCs w:val="24"/>
          <w:lang w:val="ro-RO"/>
        </w:rPr>
        <w:t xml:space="preserve">- în conformitate cu decizia: </w:t>
      </w:r>
      <w:r w:rsidRPr="00BA54A6">
        <w:rPr>
          <w:rFonts w:ascii="Arial" w:hAnsi="Arial" w:cs="Arial"/>
          <w:i/>
          <w:sz w:val="24"/>
          <w:szCs w:val="24"/>
          <w:lang w:val="ro-RO"/>
        </w:rPr>
        <w:t xml:space="preserve">pentru proiectul propus </w:t>
      </w:r>
      <w:r w:rsidRPr="00BA54A6">
        <w:rPr>
          <w:rFonts w:ascii="Arial" w:hAnsi="Arial" w:cs="Arial"/>
          <w:i/>
          <w:sz w:val="24"/>
          <w:szCs w:val="24"/>
          <w:u w:val="single"/>
          <w:lang w:val="ro-RO"/>
        </w:rPr>
        <w:t>nu este necesară elaborarea SEICA</w:t>
      </w:r>
      <w:r w:rsidRPr="00BA54A6">
        <w:rPr>
          <w:rFonts w:ascii="Arial" w:hAnsi="Arial" w:cs="Arial"/>
          <w:sz w:val="24"/>
          <w:szCs w:val="24"/>
          <w:lang w:val="ro-RO"/>
        </w:rPr>
        <w:t xml:space="preserve">, decizie eliberată de către Sistemul de Gospodărire a Apelor Sălaj, înregistrată la APM Sălaj cu nr. </w:t>
      </w:r>
      <w:r w:rsidR="00BA493A" w:rsidRPr="00BA493A">
        <w:rPr>
          <w:rFonts w:ascii="Arial" w:hAnsi="Arial" w:cs="Arial"/>
          <w:sz w:val="24"/>
          <w:szCs w:val="24"/>
          <w:lang w:val="ro-RO"/>
        </w:rPr>
        <w:t>10</w:t>
      </w:r>
      <w:r w:rsidR="00BA493A">
        <w:rPr>
          <w:rFonts w:ascii="Arial" w:hAnsi="Arial" w:cs="Arial"/>
          <w:sz w:val="24"/>
          <w:szCs w:val="24"/>
          <w:lang w:val="ro-RO"/>
        </w:rPr>
        <w:t>39</w:t>
      </w:r>
      <w:r w:rsidR="00BA493A" w:rsidRPr="00BA493A">
        <w:rPr>
          <w:rFonts w:ascii="Arial" w:hAnsi="Arial" w:cs="Arial"/>
          <w:sz w:val="24"/>
          <w:szCs w:val="24"/>
          <w:lang w:val="ro-RO"/>
        </w:rPr>
        <w:t>/03.02.2023</w:t>
      </w:r>
      <w:r w:rsidRPr="00BA54A6">
        <w:rPr>
          <w:rFonts w:ascii="Arial" w:hAnsi="Arial" w:cs="Arial"/>
          <w:sz w:val="24"/>
          <w:szCs w:val="24"/>
          <w:lang w:val="ro-RO"/>
        </w:rPr>
        <w:t>, decizie justificată prin următoarele: lucrările prevăzute în proiect nu vor avea impact asupra corpurilor de apă;</w:t>
      </w:r>
    </w:p>
    <w:p w:rsidR="00BA54A6" w:rsidRPr="00BA54A6" w:rsidRDefault="00BA54A6" w:rsidP="001702CC">
      <w:pPr>
        <w:numPr>
          <w:ilvl w:val="0"/>
          <w:numId w:val="6"/>
        </w:numPr>
        <w:tabs>
          <w:tab w:val="left" w:pos="1134"/>
        </w:tabs>
        <w:spacing w:after="0" w:line="240" w:lineRule="auto"/>
        <w:ind w:left="0" w:firstLine="720"/>
        <w:jc w:val="both"/>
        <w:rPr>
          <w:rFonts w:ascii="Arial" w:hAnsi="Arial" w:cs="Arial"/>
          <w:sz w:val="24"/>
          <w:szCs w:val="24"/>
          <w:lang w:val="ro-RO"/>
        </w:rPr>
      </w:pPr>
      <w:r w:rsidRPr="00BA54A6">
        <w:rPr>
          <w:rFonts w:ascii="Arial" w:hAnsi="Arial" w:cs="Arial"/>
          <w:sz w:val="24"/>
          <w:szCs w:val="24"/>
          <w:lang w:val="ro-RO"/>
        </w:rPr>
        <w:t xml:space="preserve">Respectarea măsurilor şi condiţiilor de realizare a proiectului în conformitate cu </w:t>
      </w:r>
      <w:bookmarkStart w:id="1" w:name="_GoBack"/>
      <w:r w:rsidRPr="00B53787">
        <w:rPr>
          <w:rFonts w:ascii="Arial" w:hAnsi="Arial" w:cs="Arial"/>
          <w:i/>
          <w:sz w:val="24"/>
          <w:szCs w:val="24"/>
          <w:u w:val="single"/>
          <w:lang w:val="ro-RO"/>
        </w:rPr>
        <w:t xml:space="preserve">Avizul de gospodărire a apelor nr. </w:t>
      </w:r>
      <w:r w:rsidR="007E1E78" w:rsidRPr="00B53787">
        <w:rPr>
          <w:rFonts w:ascii="Arial" w:hAnsi="Arial" w:cs="Arial"/>
          <w:i/>
          <w:sz w:val="24"/>
          <w:szCs w:val="24"/>
          <w:u w:val="single"/>
          <w:lang w:val="ro-RO"/>
        </w:rPr>
        <w:t>....</w:t>
      </w:r>
      <w:r w:rsidRPr="00B53787">
        <w:rPr>
          <w:rFonts w:ascii="Arial" w:hAnsi="Arial" w:cs="Arial"/>
          <w:i/>
          <w:sz w:val="24"/>
          <w:szCs w:val="24"/>
          <w:u w:val="single"/>
          <w:lang w:val="ro-RO"/>
        </w:rPr>
        <w:t>din</w:t>
      </w:r>
      <w:r w:rsidR="007E1E78" w:rsidRPr="00B53787">
        <w:rPr>
          <w:rFonts w:ascii="Arial" w:hAnsi="Arial" w:cs="Arial"/>
          <w:i/>
          <w:sz w:val="24"/>
          <w:szCs w:val="24"/>
          <w:u w:val="single"/>
          <w:lang w:val="ro-RO"/>
        </w:rPr>
        <w:t>........</w:t>
      </w:r>
      <w:r w:rsidRPr="00B53787">
        <w:rPr>
          <w:rFonts w:ascii="Arial" w:hAnsi="Arial" w:cs="Arial"/>
          <w:b/>
          <w:i/>
          <w:sz w:val="24"/>
          <w:szCs w:val="24"/>
          <w:lang w:val="ro-RO"/>
        </w:rPr>
        <w:t xml:space="preserve">, </w:t>
      </w:r>
      <w:r w:rsidRPr="00B53787">
        <w:rPr>
          <w:rFonts w:ascii="Arial" w:hAnsi="Arial" w:cs="Arial"/>
          <w:sz w:val="24"/>
          <w:szCs w:val="24"/>
          <w:lang w:val="ro-RO"/>
        </w:rPr>
        <w:t xml:space="preserve">eliberat </w:t>
      </w:r>
      <w:bookmarkEnd w:id="1"/>
      <w:r w:rsidRPr="00BA54A6">
        <w:rPr>
          <w:rFonts w:ascii="Arial" w:hAnsi="Arial" w:cs="Arial"/>
          <w:sz w:val="24"/>
          <w:szCs w:val="24"/>
          <w:lang w:val="ro-RO"/>
        </w:rPr>
        <w:t>de Sistemul de Gospodărire a Apelor Sălaj:</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Începerea execuţiei se va anunţa cu 10 zile înainte la Sistemul de Gospodărire a Apelor Sălaj.</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Se interzice evacuarea de ape uzate, deșeuri și alte substanțe poluatoare în apele de suprafață sau subterane.</w:t>
      </w:r>
    </w:p>
    <w:p w:rsidR="00FC6EAC" w:rsidRPr="00FC6EAC" w:rsidRDefault="00FC6EAC"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La terminarea lucrărilor se vor dezafecta și reda folosinței inițiale terenurile ocupate provizoriu cu drumuri de acces și platforme de lucru.</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În cazul producerii unor daune de orice fel riveranilor, beneficiarul va suporta integral cheltuielile generate de remedierea acestora.</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Recepția lucrărilor se va face în prezența delegatului Sistemului de Gospodărire a Apelor Sălaj.</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În cazul în care apar modificări ce impun schimbarea soluțiilor avizate, beneficiarul investiției va solicita Aviz de gospodărire a apelor modificator, conform Ordinului MAP nr. 828/04.07.2019.</w:t>
      </w:r>
    </w:p>
    <w:p w:rsid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completările ulterioare</w:t>
      </w:r>
      <w:r w:rsidR="00BA54A6" w:rsidRPr="00FC6EAC">
        <w:rPr>
          <w:rFonts w:ascii="Arial" w:hAnsi="Arial" w:cs="Arial"/>
          <w:sz w:val="24"/>
          <w:szCs w:val="24"/>
          <w:lang w:val="ro-RO"/>
        </w:rPr>
        <w:t>.</w:t>
      </w:r>
    </w:p>
    <w:p w:rsidR="00FC6EAC" w:rsidRPr="00FC6EAC" w:rsidRDefault="00FC6EAC"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Să ia urgent măsurile necesare pentru conformarea în ceea ce privește colectarea și epurarea apelor uzate, conform Angajamentului negociat cu Uniunea Europeană – Capitolul 22 Mediu, în vederea implementării legislației privind calitatea apelor uzate în receptorii naturali.</w:t>
      </w:r>
    </w:p>
    <w:p w:rsidR="00FC6EAC" w:rsidRPr="00FC6EAC" w:rsidRDefault="00FC6EAC"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Se interzice evacuarea de ape uzate, deșeuri și alte substanțe poluatoare în apele de suprafață sau subterane</w:t>
      </w:r>
      <w:r>
        <w:rPr>
          <w:rFonts w:ascii="Arial" w:hAnsi="Arial" w:cs="Arial"/>
          <w:sz w:val="24"/>
          <w:szCs w:val="24"/>
          <w:lang w:val="ro-RO"/>
        </w:rPr>
        <w:t>.</w:t>
      </w:r>
    </w:p>
    <w:p w:rsidR="0025035D" w:rsidRPr="00907414" w:rsidRDefault="0025035D" w:rsidP="00C84320">
      <w:pPr>
        <w:spacing w:after="0"/>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lastRenderedPageBreak/>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Actele sau omisiunile autorităţii publice competente care fac obiectul participării publicului se atacă în instanţă odată cu decizia etapei de încadrare, cu acordul de mediu ori, după caz, cu </w:t>
      </w:r>
      <w:r w:rsidRPr="00282EA6">
        <w:rPr>
          <w:rFonts w:ascii="Arial" w:eastAsia="Times New Roman" w:hAnsi="Arial" w:cs="Arial"/>
          <w:noProof/>
          <w:sz w:val="24"/>
          <w:szCs w:val="24"/>
          <w:lang w:val="ro-RO" w:eastAsia="en-GB"/>
        </w:rPr>
        <w:lastRenderedPageBreak/>
        <w:t>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Pr="00282EA6" w:rsidRDefault="00E60530"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B5" w:rsidRDefault="009858B5" w:rsidP="000B208E">
      <w:pPr>
        <w:spacing w:after="0" w:line="240" w:lineRule="auto"/>
      </w:pPr>
      <w:r>
        <w:separator/>
      </w:r>
    </w:p>
  </w:endnote>
  <w:endnote w:type="continuationSeparator" w:id="0">
    <w:p w:rsidR="009858B5" w:rsidRDefault="009858B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B5378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B53787"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8137215"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B53787">
          <w:rPr>
            <w:rFonts w:ascii="Times New Roman" w:hAnsi="Times New Roman"/>
            <w:noProof/>
            <w:sz w:val="24"/>
            <w:szCs w:val="24"/>
          </w:rPr>
          <w:t>5</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B53787"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8137217"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B53787">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B5" w:rsidRDefault="009858B5" w:rsidP="000B208E">
      <w:pPr>
        <w:spacing w:after="0" w:line="240" w:lineRule="auto"/>
      </w:pPr>
      <w:r>
        <w:separator/>
      </w:r>
    </w:p>
  </w:footnote>
  <w:footnote w:type="continuationSeparator" w:id="0">
    <w:p w:rsidR="009858B5" w:rsidRDefault="009858B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B53787"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8137216"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211" w:hanging="360"/>
      </w:pPr>
      <w:rPr>
        <w:rFonts w:ascii="Arial" w:eastAsia="Calibri" w:hAnsi="Arial" w:cs="Arial" w:hint="default"/>
        <w:sz w:val="24"/>
        <w:szCs w:val="24"/>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9"/>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7"/>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9"/>
  </w:num>
  <w:num w:numId="24">
    <w:abstractNumId w:val="10"/>
  </w:num>
  <w:num w:numId="25">
    <w:abstractNumId w:val="28"/>
  </w:num>
  <w:num w:numId="26">
    <w:abstractNumId w:val="27"/>
  </w:num>
  <w:num w:numId="27">
    <w:abstractNumId w:val="19"/>
  </w:num>
  <w:num w:numId="28">
    <w:abstractNumId w:val="22"/>
  </w:num>
  <w:num w:numId="29">
    <w:abstractNumId w:val="33"/>
  </w:num>
  <w:num w:numId="30">
    <w:abstractNumId w:val="30"/>
  </w:num>
  <w:num w:numId="31">
    <w:abstractNumId w:val="24"/>
  </w:num>
  <w:num w:numId="32">
    <w:abstractNumId w:val="31"/>
  </w:num>
  <w:num w:numId="33">
    <w:abstractNumId w:val="40"/>
  </w:num>
  <w:num w:numId="34">
    <w:abstractNumId w:val="26"/>
  </w:num>
  <w:num w:numId="35">
    <w:abstractNumId w:val="36"/>
  </w:num>
  <w:num w:numId="36">
    <w:abstractNumId w:val="34"/>
  </w:num>
  <w:num w:numId="37">
    <w:abstractNumId w:val="8"/>
  </w:num>
  <w:num w:numId="38">
    <w:abstractNumId w:val="32"/>
  </w:num>
  <w:num w:numId="39">
    <w:abstractNumId w:val="38"/>
  </w:num>
  <w:num w:numId="40">
    <w:abstractNumId w:val="32"/>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BD6"/>
    <w:rsid w:val="00032FEE"/>
    <w:rsid w:val="000352F0"/>
    <w:rsid w:val="00035A29"/>
    <w:rsid w:val="000409BE"/>
    <w:rsid w:val="000413F1"/>
    <w:rsid w:val="00042A75"/>
    <w:rsid w:val="00043BD4"/>
    <w:rsid w:val="000442F2"/>
    <w:rsid w:val="0004471D"/>
    <w:rsid w:val="00044CBF"/>
    <w:rsid w:val="000463A9"/>
    <w:rsid w:val="00046C47"/>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477F"/>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4EF1"/>
    <w:rsid w:val="001662F5"/>
    <w:rsid w:val="00166DC5"/>
    <w:rsid w:val="00166E50"/>
    <w:rsid w:val="00166EC1"/>
    <w:rsid w:val="00167111"/>
    <w:rsid w:val="001702CC"/>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907C1"/>
    <w:rsid w:val="00192B00"/>
    <w:rsid w:val="00193E01"/>
    <w:rsid w:val="0019418E"/>
    <w:rsid w:val="0019553D"/>
    <w:rsid w:val="001961EF"/>
    <w:rsid w:val="001A0854"/>
    <w:rsid w:val="001A0959"/>
    <w:rsid w:val="001A0F63"/>
    <w:rsid w:val="001A17C2"/>
    <w:rsid w:val="001A2AAA"/>
    <w:rsid w:val="001A2E39"/>
    <w:rsid w:val="001A459D"/>
    <w:rsid w:val="001A5059"/>
    <w:rsid w:val="001A5254"/>
    <w:rsid w:val="001A5B32"/>
    <w:rsid w:val="001A5F6F"/>
    <w:rsid w:val="001A62B0"/>
    <w:rsid w:val="001A6EA1"/>
    <w:rsid w:val="001A6EA7"/>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09"/>
    <w:rsid w:val="001D5C3F"/>
    <w:rsid w:val="001D67DF"/>
    <w:rsid w:val="001D72B9"/>
    <w:rsid w:val="001E20CF"/>
    <w:rsid w:val="001E2C49"/>
    <w:rsid w:val="001E2E8E"/>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4AB4"/>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358"/>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31C"/>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1689C"/>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F40"/>
    <w:rsid w:val="00340EFE"/>
    <w:rsid w:val="003413EE"/>
    <w:rsid w:val="003451FF"/>
    <w:rsid w:val="00345401"/>
    <w:rsid w:val="00346A6D"/>
    <w:rsid w:val="003472B1"/>
    <w:rsid w:val="0034739E"/>
    <w:rsid w:val="00351254"/>
    <w:rsid w:val="0035148C"/>
    <w:rsid w:val="0035156E"/>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B7EE5"/>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2338"/>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2DE0"/>
    <w:rsid w:val="00444129"/>
    <w:rsid w:val="00447961"/>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095"/>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2441"/>
    <w:rsid w:val="004F3A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1FFC"/>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478"/>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C6F02"/>
    <w:rsid w:val="005C74B2"/>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37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8DB"/>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274"/>
    <w:rsid w:val="006802E2"/>
    <w:rsid w:val="00680FA3"/>
    <w:rsid w:val="00681EE1"/>
    <w:rsid w:val="00682C15"/>
    <w:rsid w:val="00683389"/>
    <w:rsid w:val="00685F13"/>
    <w:rsid w:val="0069005A"/>
    <w:rsid w:val="0069129D"/>
    <w:rsid w:val="006914CE"/>
    <w:rsid w:val="00692A10"/>
    <w:rsid w:val="00693A68"/>
    <w:rsid w:val="00693AED"/>
    <w:rsid w:val="00693EAB"/>
    <w:rsid w:val="00694D51"/>
    <w:rsid w:val="00694E1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872"/>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36A66"/>
    <w:rsid w:val="0074012E"/>
    <w:rsid w:val="00740520"/>
    <w:rsid w:val="0074072B"/>
    <w:rsid w:val="0074074F"/>
    <w:rsid w:val="00741084"/>
    <w:rsid w:val="0074128D"/>
    <w:rsid w:val="007417FA"/>
    <w:rsid w:val="0074306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05DA"/>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1E78"/>
    <w:rsid w:val="007E4B28"/>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A4E"/>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0465"/>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1C6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2CFF"/>
    <w:rsid w:val="0092378B"/>
    <w:rsid w:val="00924FAC"/>
    <w:rsid w:val="00925F1F"/>
    <w:rsid w:val="00926389"/>
    <w:rsid w:val="00926C75"/>
    <w:rsid w:val="009272FA"/>
    <w:rsid w:val="009324C2"/>
    <w:rsid w:val="00934B4C"/>
    <w:rsid w:val="0093589A"/>
    <w:rsid w:val="009368FF"/>
    <w:rsid w:val="00936C58"/>
    <w:rsid w:val="00936FA3"/>
    <w:rsid w:val="00937682"/>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0B8"/>
    <w:rsid w:val="00980299"/>
    <w:rsid w:val="00983195"/>
    <w:rsid w:val="0098469C"/>
    <w:rsid w:val="00984933"/>
    <w:rsid w:val="00984C52"/>
    <w:rsid w:val="009858B5"/>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0989"/>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957"/>
    <w:rsid w:val="00A12F38"/>
    <w:rsid w:val="00A159AF"/>
    <w:rsid w:val="00A16868"/>
    <w:rsid w:val="00A1723E"/>
    <w:rsid w:val="00A17737"/>
    <w:rsid w:val="00A177BD"/>
    <w:rsid w:val="00A17E7F"/>
    <w:rsid w:val="00A205A7"/>
    <w:rsid w:val="00A22AAD"/>
    <w:rsid w:val="00A230D7"/>
    <w:rsid w:val="00A23D94"/>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56EFA"/>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526"/>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1EB"/>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19C"/>
    <w:rsid w:val="00AF3FAC"/>
    <w:rsid w:val="00AF46A4"/>
    <w:rsid w:val="00AF46B7"/>
    <w:rsid w:val="00B03B2F"/>
    <w:rsid w:val="00B06016"/>
    <w:rsid w:val="00B061E5"/>
    <w:rsid w:val="00B07EC2"/>
    <w:rsid w:val="00B100F0"/>
    <w:rsid w:val="00B115E4"/>
    <w:rsid w:val="00B11AB0"/>
    <w:rsid w:val="00B1209D"/>
    <w:rsid w:val="00B1282C"/>
    <w:rsid w:val="00B13184"/>
    <w:rsid w:val="00B15369"/>
    <w:rsid w:val="00B157FE"/>
    <w:rsid w:val="00B16B9B"/>
    <w:rsid w:val="00B16D4C"/>
    <w:rsid w:val="00B16EE2"/>
    <w:rsid w:val="00B17B8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787"/>
    <w:rsid w:val="00B53CB8"/>
    <w:rsid w:val="00B540D6"/>
    <w:rsid w:val="00B54429"/>
    <w:rsid w:val="00B54566"/>
    <w:rsid w:val="00B561F5"/>
    <w:rsid w:val="00B57151"/>
    <w:rsid w:val="00B57E6D"/>
    <w:rsid w:val="00B60C3A"/>
    <w:rsid w:val="00B6141F"/>
    <w:rsid w:val="00B62E15"/>
    <w:rsid w:val="00B6339D"/>
    <w:rsid w:val="00B65B38"/>
    <w:rsid w:val="00B66014"/>
    <w:rsid w:val="00B67741"/>
    <w:rsid w:val="00B67A37"/>
    <w:rsid w:val="00B703B8"/>
    <w:rsid w:val="00B73185"/>
    <w:rsid w:val="00B737ED"/>
    <w:rsid w:val="00B7448E"/>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C05"/>
    <w:rsid w:val="00BA3E79"/>
    <w:rsid w:val="00BA446A"/>
    <w:rsid w:val="00BA493A"/>
    <w:rsid w:val="00BA54A5"/>
    <w:rsid w:val="00BA54A6"/>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532E"/>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67AE2"/>
    <w:rsid w:val="00C70369"/>
    <w:rsid w:val="00C71A90"/>
    <w:rsid w:val="00C71DA2"/>
    <w:rsid w:val="00C73967"/>
    <w:rsid w:val="00C77510"/>
    <w:rsid w:val="00C776F7"/>
    <w:rsid w:val="00C77C6E"/>
    <w:rsid w:val="00C80356"/>
    <w:rsid w:val="00C8069C"/>
    <w:rsid w:val="00C80D00"/>
    <w:rsid w:val="00C80E09"/>
    <w:rsid w:val="00C81F8D"/>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1A6E"/>
    <w:rsid w:val="00D11E95"/>
    <w:rsid w:val="00D12851"/>
    <w:rsid w:val="00D13388"/>
    <w:rsid w:val="00D137AE"/>
    <w:rsid w:val="00D1389A"/>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378A"/>
    <w:rsid w:val="00DB5A5B"/>
    <w:rsid w:val="00DB666B"/>
    <w:rsid w:val="00DB6A64"/>
    <w:rsid w:val="00DB787C"/>
    <w:rsid w:val="00DC1A06"/>
    <w:rsid w:val="00DC214B"/>
    <w:rsid w:val="00DC65B9"/>
    <w:rsid w:val="00DC68E1"/>
    <w:rsid w:val="00DC7A92"/>
    <w:rsid w:val="00DC7CC4"/>
    <w:rsid w:val="00DD37E3"/>
    <w:rsid w:val="00DD3A2B"/>
    <w:rsid w:val="00DD6345"/>
    <w:rsid w:val="00DD7189"/>
    <w:rsid w:val="00DD7C95"/>
    <w:rsid w:val="00DE13CB"/>
    <w:rsid w:val="00DE2355"/>
    <w:rsid w:val="00DE48CE"/>
    <w:rsid w:val="00DE4B36"/>
    <w:rsid w:val="00DE744A"/>
    <w:rsid w:val="00DE7F3F"/>
    <w:rsid w:val="00DF0657"/>
    <w:rsid w:val="00DF06B9"/>
    <w:rsid w:val="00DF0B22"/>
    <w:rsid w:val="00DF1776"/>
    <w:rsid w:val="00DF2855"/>
    <w:rsid w:val="00DF2AD4"/>
    <w:rsid w:val="00DF3669"/>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E7FE9"/>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56EB7"/>
    <w:rsid w:val="00F61026"/>
    <w:rsid w:val="00F61193"/>
    <w:rsid w:val="00F614DB"/>
    <w:rsid w:val="00F630B6"/>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3E51"/>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EAC"/>
    <w:rsid w:val="00FC6F2C"/>
    <w:rsid w:val="00FC72CB"/>
    <w:rsid w:val="00FC7390"/>
    <w:rsid w:val="00FC7583"/>
    <w:rsid w:val="00FC7E69"/>
    <w:rsid w:val="00FD0021"/>
    <w:rsid w:val="00FD35A9"/>
    <w:rsid w:val="00FD4AE0"/>
    <w:rsid w:val="00FD71A5"/>
    <w:rsid w:val="00FE1942"/>
    <w:rsid w:val="00FE2170"/>
    <w:rsid w:val="00FE2D00"/>
    <w:rsid w:val="00FE39FB"/>
    <w:rsid w:val="00FE4A9B"/>
    <w:rsid w:val="00FE54F7"/>
    <w:rsid w:val="00FE5945"/>
    <w:rsid w:val="00FE5E44"/>
    <w:rsid w:val="00FE6376"/>
    <w:rsid w:val="00FE73CC"/>
    <w:rsid w:val="00FE798D"/>
    <w:rsid w:val="00FE7A41"/>
    <w:rsid w:val="00FF064F"/>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25</cp:revision>
  <cp:lastPrinted>2022-02-28T08:00:00Z</cp:lastPrinted>
  <dcterms:created xsi:type="dcterms:W3CDTF">2023-02-17T08:09:00Z</dcterms:created>
  <dcterms:modified xsi:type="dcterms:W3CDTF">2023-02-17T09:07:00Z</dcterms:modified>
</cp:coreProperties>
</file>