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D2549B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D2549B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D2549B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D2549B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D2549B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D2549B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D2549B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D25A87">
            <w:rPr>
              <w:rFonts w:ascii="Arial" w:hAnsi="Arial" w:cs="Arial"/>
              <w:b/>
              <w:sz w:val="24"/>
              <w:szCs w:val="24"/>
            </w:rPr>
            <w:t>Timar &amp; Patic SRL</w:t>
          </w:r>
        </w:sdtContent>
      </w:sdt>
    </w:p>
    <w:p w:rsidR="00B81806" w:rsidRDefault="00D2549B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D25A87">
            <w:rPr>
              <w:rFonts w:ascii="Arial" w:hAnsi="Arial" w:cs="Arial"/>
              <w:b/>
              <w:sz w:val="24"/>
              <w:szCs w:val="24"/>
            </w:rPr>
            <w:t>Str. Principla, Nr. 34, Petrindu,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D2549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D25A87">
            <w:rPr>
              <w:rFonts w:ascii="Arial" w:hAnsi="Arial" w:cs="Arial"/>
              <w:b/>
              <w:sz w:val="24"/>
              <w:szCs w:val="24"/>
            </w:rPr>
            <w:t>Timar &amp; Patic SRL</w:t>
          </w:r>
        </w:sdtContent>
      </w:sdt>
    </w:p>
    <w:p w:rsidR="00B81806" w:rsidRDefault="00D2549B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D25A87">
            <w:rPr>
              <w:rFonts w:ascii="Arial" w:hAnsi="Arial" w:cs="Arial"/>
              <w:b/>
              <w:sz w:val="24"/>
              <w:szCs w:val="24"/>
            </w:rPr>
            <w:t>Str. Principla, Nr. 34, Petrindu,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59790F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D2549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D2549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D2549B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D2549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D2549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6346BB" w:rsidRPr="006346BB" w:rsidTr="006346BB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6346BB" w:rsidRPr="006346BB" w:rsidTr="006346BB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sz w:val="20"/>
                    <w:szCs w:val="24"/>
                  </w:rPr>
                  <w:t>0220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sz w:val="20"/>
                    <w:szCs w:val="24"/>
                  </w:rPr>
                  <w:t>Exploatarea forestiera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sz w:val="20"/>
                    <w:szCs w:val="24"/>
                  </w:rPr>
                  <w:t>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sz w:val="20"/>
                    <w:szCs w:val="24"/>
                  </w:rPr>
                  <w:t>0201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6346BB">
                  <w:rPr>
                    <w:rFonts w:ascii="Arial" w:hAnsi="Arial" w:cs="Arial"/>
                    <w:sz w:val="20"/>
                    <w:szCs w:val="24"/>
                  </w:rPr>
                  <w:t>Silvicultura si exploatare forestiera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6346BB" w:rsidRPr="006346BB" w:rsidRDefault="006346BB" w:rsidP="006346BB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59790F" w:rsidP="006346BB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6346B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6346BB" w:rsidP="006346BB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6346BB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6346BB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D2549B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 w:rsidR="006346BB"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D2549B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59790F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D2549B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D2549B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D2549B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D2549B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D2549B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2549B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D2549B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D25A87">
            <w:rPr>
              <w:rFonts w:ascii="Arial" w:hAnsi="Arial" w:cs="Arial"/>
              <w:noProof/>
              <w:sz w:val="24"/>
              <w:szCs w:val="24"/>
              <w:lang w:val="ro-RO"/>
            </w:rPr>
            <w:t>Timar &amp; Patic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D25A87">
            <w:rPr>
              <w:rFonts w:ascii="Arial" w:hAnsi="Arial" w:cs="Arial"/>
              <w:noProof/>
              <w:sz w:val="24"/>
              <w:szCs w:val="24"/>
              <w:lang w:val="ro-RO"/>
            </w:rPr>
            <w:t>Str. Principla, Nr. 34, Petrindu,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D25A87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D25A87">
            <w:rPr>
              <w:rFonts w:ascii="Arial" w:hAnsi="Arial" w:cs="Arial"/>
              <w:noProof/>
              <w:sz w:val="24"/>
              <w:szCs w:val="24"/>
              <w:lang w:val="ro-RO"/>
            </w:rPr>
            <w:t>3058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5-2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D25A87">
            <w:rPr>
              <w:rFonts w:ascii="Arial" w:hAnsi="Arial" w:cs="Arial"/>
              <w:noProof/>
              <w:sz w:val="24"/>
              <w:szCs w:val="24"/>
              <w:lang w:val="ro-RO"/>
            </w:rPr>
            <w:t>24.05.2016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D2549B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D2549B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D2549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D2549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D2549B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D2549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2549B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D25A87">
            <w:rPr>
              <w:rFonts w:ascii="Arial" w:eastAsia="Calibri" w:hAnsi="Arial" w:cs="Arial"/>
              <w:b/>
              <w:noProof/>
              <w:color w:val="auto"/>
              <w:lang w:val="ro-RO"/>
            </w:rPr>
            <w:t>Timar &amp; Patic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D25A87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Principla, Nr. 34, Petrindu,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D2549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D2549B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D2549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2549B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D2549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2549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D2549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2549B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D2549B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D2549B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D2549B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D2549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D2549B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D2549B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D2549B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2549B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D2549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59790F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D2549B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D2549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D2549B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D2549B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D2549B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D2549B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59790F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D2549B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D2549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D2549B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59790F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D2549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D2549B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D2549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59790F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D25A87" w:rsidRPr="00D25A87" w:rsidTr="00D25A87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D25A87" w:rsidRPr="00D25A87" w:rsidRDefault="00D25A87" w:rsidP="00D25A8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25A8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25A87" w:rsidRPr="00D25A87" w:rsidRDefault="00D25A87" w:rsidP="00D25A8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25A8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25A87" w:rsidRPr="00D25A87" w:rsidRDefault="00D25A87" w:rsidP="00D25A8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25A87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D25A87" w:rsidRPr="00D25A87" w:rsidTr="00D25A87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D25A87" w:rsidRPr="00D25A87" w:rsidRDefault="00D25A87" w:rsidP="00D25A8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25A87" w:rsidRPr="00D25A87" w:rsidRDefault="00D25A87" w:rsidP="00D25A8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25A87" w:rsidRPr="00D25A87" w:rsidRDefault="00D25A87" w:rsidP="00D25A87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59790F" w:rsidP="00D25A87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D2549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D2549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59790F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D2549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D2549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59790F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D2549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D2549B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D2549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D2549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D2549B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2549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2549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2549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2549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2549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D2549B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D2549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D2549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D2549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D2549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D2549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D2549B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D2549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D2549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D2549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9790F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D2549B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D2549B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D2549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9790F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D2549B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D2549B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D2549B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D2549B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D2549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D2549B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D2549B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9790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D2549B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D2549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D2549B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D2549B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59790F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D2549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D2549B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D2549B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D2549B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59790F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D2549B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D2549B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D2549B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59790F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D2549B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D2549B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59790F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D2549B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D2549B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D2549B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59790F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D2549B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D2549B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9790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D2549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59790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9790F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D2549B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59790F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D2549B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9790F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D2549B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D2549B" w:rsidP="000A527D">
      <w:pPr>
        <w:spacing w:after="0"/>
        <w:rPr>
          <w:rFonts w:ascii="Arial" w:hAnsi="Arial" w:cs="Arial"/>
          <w:lang w:val="ro-RO"/>
        </w:rPr>
      </w:pPr>
    </w:p>
    <w:p w:rsidR="005E3B41" w:rsidRDefault="00D2549B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D2549B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D2549B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D2549B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59790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2549B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D2549B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59790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D2549B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D2549B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59790F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D2549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9790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D2549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2549B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9790F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D2549B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D2549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D2549B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59790F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D2549B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D2549B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D2549B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59790F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D2549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59790F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D2549B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D2549B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59790F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D2549B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D2549B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D2549B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59790F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D2549B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D2549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D2549B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D2549B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59790F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D2549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D2549B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D2549B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D2549B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D2549B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D2549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D2549B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D2549B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D2549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2549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D2549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D2549B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D2549B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D2549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D2549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2549B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D2549B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D2549B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D2549B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D2549B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D2549B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9790F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D2549B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D2549B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D2549B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D2549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D2549B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D2549B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D2549B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D2549B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59790F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D2549B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D2549B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D2549B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D2549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D2549B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D2549B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D2549B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D2549B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D2549B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D2549B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0F" w:rsidRDefault="0059790F" w:rsidP="0059790F">
      <w:pPr>
        <w:spacing w:after="0" w:line="240" w:lineRule="auto"/>
      </w:pPr>
      <w:r>
        <w:separator/>
      </w:r>
    </w:p>
  </w:endnote>
  <w:endnote w:type="continuationSeparator" w:id="0">
    <w:p w:rsidR="0059790F" w:rsidRDefault="0059790F" w:rsidP="0059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D2549B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D2549B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D2549B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D2549B" w:rsidP="00A50C45">
        <w:pPr>
          <w:pStyle w:val="Footer"/>
          <w:jc w:val="center"/>
        </w:pPr>
        <w:r>
          <w:t xml:space="preserve"> </w:t>
        </w:r>
        <w:r w:rsidR="0059790F">
          <w:fldChar w:fldCharType="begin"/>
        </w:r>
        <w:r>
          <w:instrText xml:space="preserve"> PAGE   \* MERGEFORMAT </w:instrText>
        </w:r>
        <w:r w:rsidR="0059790F">
          <w:fldChar w:fldCharType="separate"/>
        </w:r>
        <w:r>
          <w:rPr>
            <w:noProof/>
          </w:rPr>
          <w:t>10</w:t>
        </w:r>
        <w:r w:rsidR="0059790F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D2549B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D2549B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Sector ..., Loc. ..., Cod ....</w:t>
        </w:r>
      </w:p>
      <w:p w:rsidR="004365B9" w:rsidRPr="00A50C45" w:rsidRDefault="00D2549B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0F" w:rsidRDefault="0059790F" w:rsidP="0059790F">
      <w:pPr>
        <w:spacing w:after="0" w:line="240" w:lineRule="auto"/>
      </w:pPr>
      <w:r>
        <w:separator/>
      </w:r>
    </w:p>
  </w:footnote>
  <w:footnote w:type="continuationSeparator" w:id="0">
    <w:p w:rsidR="0059790F" w:rsidRDefault="0059790F" w:rsidP="0059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D2549B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9790F" w:rsidRPr="0059790F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9134267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59790F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D2549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0A527D" w:rsidRDefault="00D2549B" w:rsidP="000A527D">
    <w:pPr>
      <w:rPr>
        <w:rFonts w:ascii="Arial" w:hAnsi="Arial" w:cs="Arial"/>
        <w:i/>
        <w:color w:val="808080"/>
        <w:sz w:val="24"/>
        <w:szCs w:val="24"/>
        <w:lang w:val="ro-RO"/>
      </w:rPr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r>
      <w:rPr>
        <w:rFonts w:ascii="Arial" w:hAnsi="Arial" w:cs="Arial"/>
        <w:b/>
        <w:sz w:val="24"/>
        <w:szCs w:val="24"/>
        <w:lang w:val="ro-RO"/>
      </w:rPr>
      <w:t xml:space="preserve"> </w:t>
    </w:r>
    <w:r w:rsidR="0059790F">
      <w:rPr>
        <w:rFonts w:ascii="Arial" w:hAnsi="Arial" w:cs="Arial"/>
        <w:i/>
        <w:sz w:val="24"/>
        <w:szCs w:val="24"/>
        <w:lang w:val="ro-RO"/>
      </w:rPr>
    </w:r>
  </w:p>
  <w:p w:rsidR="004365B9" w:rsidRPr="00E821F1" w:rsidRDefault="00DA2ADA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rPr>
        <w:rFonts w:ascii="Times New Roman" w:hAnsi="Times New Roman" w:cs="Times New Roman"/>
        <w:color w:val="000000" w:themeColor="text1"/>
        <w:sz w:val="36"/>
        <w:szCs w:val="36"/>
      </w:rPr>
    </w:pPr>
    <w:r>
      <w:rPr>
        <w:rFonts w:ascii="Arial" w:hAnsi="Arial" w:cs="Arial"/>
        <w:b/>
        <w:color w:val="808080"/>
        <w:sz w:val="24"/>
        <w:szCs w:val="24"/>
        <w:lang w:val="ro-RO"/>
      </w:rPr>
      <w:t xml:space="preserve">                                  </w:t>
    </w:r>
    <w:r w:rsidRPr="00E821F1">
      <w:rPr>
        <w:rFonts w:ascii="Times New Roman" w:hAnsi="Times New Roman" w:cs="Times New Roman"/>
        <w:b/>
        <w:color w:val="000000" w:themeColor="text1"/>
        <w:sz w:val="36"/>
        <w:szCs w:val="36"/>
        <w:lang w:val="ro-RO"/>
      </w:rPr>
      <w:t>Agentia pentru Protectia Mediului Salaj</w:t>
    </w:r>
    <w:r w:rsidR="00D25A87" w:rsidRPr="00E821F1">
      <w:rPr>
        <w:rFonts w:ascii="Times New Roman" w:hAnsi="Times New Roman" w:cs="Times New Roman"/>
        <w:sz w:val="36"/>
        <w:szCs w:val="36"/>
        <w:lang w:val="ro-RO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TvwXW5u3NKPYxwDMkcf+MtnpUV4=" w:salt="aTtiaAfQC8aglsCtfPsfNA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9790F"/>
    <w:rsid w:val="0055542A"/>
    <w:rsid w:val="0059790F"/>
    <w:rsid w:val="006346BB"/>
    <w:rsid w:val="00D2549B"/>
    <w:rsid w:val="00D25A87"/>
    <w:rsid w:val="00DA2ADA"/>
    <w:rsid w:val="00E8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6346BB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6346BB"/>
    <w:rPr>
      <w:rFonts w:ascii="Arial" w:hAnsi="Arial" w:cs="Arial"/>
      <w:b/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2617FA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17FA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7FA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[{"CodRev2":"0220","DenumireRev2":"Exploatarea forestiera","IdRev2":1875,"PozitieRev1":"9","CodRev1":"0201","DenumireRev1":"Silvicultura si exploatare forestiera","IdRev1":793,"CodNfr":null,"IdNfr":null,"CodSnap":null,"IdSnap":null,"Id":"277cfa09-e5bc-454c-8b3e-adca9a72efc4","DetailId":"00000000-0000-0000-0000-000000000000","ActReglementareId":"8b1eda72-39cd-40be-8276-d1dd44e76c6a"}]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
<value xmlns="SIM.Reglementari.Model.Entities.ActReglementareModel">{"Id":"8b1eda72-39cd-40be-8276-d1dd44e76c6a","Numar":null,"Data":null,"NumarActReglementareInitial":null,"DataActReglementareInitial":null,"DataInceput":null,"DataSfarsit":null,"Durata":null,"PunctLucruId":378703.0,"TipActId":1.0,"NumarCerere":null,"DataCerere":null,"NumarCerereScriptic":"3058","DataCerereScriptic":"2016-05-24T00:00:00","CodFiscal":null,"SordId":"(95458F01-2725-89CA-8286-200AA103CC88)","SablonSordId":"(738F7EB3-80B4-CBEA-D1C3-EA3241074D8D)","DosarSordId":"3466329","LatitudineWgs84":null,"LongitudineWgs84":null,"LatitudineStereo70":null,"LongitudineStereo70":null,"NumarAutorizatieGospodarireApe":null,"DataAutorizatieGospodarireApe":null,"DurataAutorizatieGospodarireApe":null,"Aba":null,"Sga":null,"AdresaSediuSocial":"Str. Principla, Nr. 34, Petrindu, Judetul Sălaj","AdresaPunctLucru":"Str. Principla, Nr. 34, Petrindu,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9014F54B-5F94-44E8-96C0-0C73D7E4B46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C9A58A33-BA41-4D2B-A070-CF9568E06A26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8C139FDE-A956-43A9-9798-A2D149F9EB10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815F2823-D14E-465D-A9F5-989864CD43C2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240CA7B8-C44D-415A-BE60-70274BF8ACB3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F8A5213F-E74E-42C1-8EC3-6ACE86717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1712</Words>
  <Characters>9763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10</cp:revision>
  <dcterms:created xsi:type="dcterms:W3CDTF">2015-10-26T07:45:00Z</dcterms:created>
  <dcterms:modified xsi:type="dcterms:W3CDTF">2016-07-04T07:45:00Z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Timar &amp; Patrik  S.R.L</vt:lpwstr>
  </property>
  <property fmtid="{D5CDD505-2E9C-101B-9397-08002B2CF9AE}" pid="5" name="VersiuneDocument">
    <vt:lpwstr>8</vt:lpwstr>
  </property>
  <property fmtid="{D5CDD505-2E9C-101B-9397-08002B2CF9AE}" pid="6" name="SordId">
    <vt:lpwstr>(95458F01-2725-89CA-8286-200AA103CC88)</vt:lpwstr>
  </property>
  <property fmtid="{D5CDD505-2E9C-101B-9397-08002B2CF9AE}" pid="7" name="RuntimeGuid">
    <vt:lpwstr>9bb7c44d-c53f-4a4f-9383-93062e4af13a</vt:lpwstr>
  </property>
  <property fmtid="{D5CDD505-2E9C-101B-9397-08002B2CF9AE}" pid="8" name="PunctLucruId">
    <vt:lpwstr>378703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3466329</vt:lpwstr>
  </property>
  <property fmtid="{D5CDD505-2E9C-101B-9397-08002B2CF9AE}" pid="11" name="DosarCerereSordId">
    <vt:lpwstr>3370334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8b1eda72-39cd-40be-8276-d1dd44e76c6a</vt:lpwstr>
  </property>
  <property fmtid="{D5CDD505-2E9C-101B-9397-08002B2CF9AE}" pid="16" name="CommitRoles">
    <vt:lpwstr>false</vt:lpwstr>
  </property>
</Properties>
</file>